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兰溪市202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年度浙江省生产制造方式转型示范项目专项资金使用管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理办法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spacing w:after="0"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after="0" w:line="560" w:lineRule="exact"/>
        <w:jc w:val="both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根据《关于公布2023年度生产制造方式转型示范项目计划实施名单的通知》（浙经信投资〔202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号）、《关于下达202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年省工业与信息化发展财政专项资金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（第二批）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的通知》（浙财建〔202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〕2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号）等文件要求，结合本市实际，制定本办法。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一、资金来源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本办法所称专项资金是指由省级财政下达的202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年生产制造方式转型示范项目计划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资金分配方案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年生产制造方式转型示范项目计划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（高端化、智能化）方向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>1.资金分配原则：专项资金根据项目计划总投资额进行预分配，浙江锂威能源科技有限公司220万元，浙江鑫兰纺织有限公司380万元。项目实际投资额少于补助金额的，按实际投资额拨付；实际投资额超出计划总投资的，超出部分不再参与资金分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lang w:val="en-US" w:eastAsia="zh-CN"/>
        </w:rPr>
        <w:t>2.资金拨付计划：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按实施进度进行综合分配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</w:rPr>
        <w:t>项目</w:t>
      </w:r>
      <w:r>
        <w:rPr>
          <w:rFonts w:hint="eastAsia" w:ascii="仿宋_GB2312" w:hAnsi="仿宋_GB2312" w:eastAsia="仿宋_GB2312" w:cs="仿宋_GB2312"/>
          <w:sz w:val="32"/>
        </w:rPr>
        <w:t>固定资产</w:t>
      </w:r>
      <w:r>
        <w:rPr>
          <w:rFonts w:hint="eastAsia" w:ascii="仿宋_GB2312" w:eastAsia="仿宋_GB2312"/>
          <w:color w:val="auto"/>
          <w:sz w:val="32"/>
        </w:rPr>
        <w:t>投资进度达到30%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时，</w:t>
      </w:r>
      <w:r>
        <w:rPr>
          <w:rFonts w:hint="eastAsia" w:ascii="仿宋_GB2312" w:eastAsia="仿宋_GB2312"/>
          <w:color w:val="auto"/>
          <w:sz w:val="32"/>
        </w:rPr>
        <w:t>可向市经信局申请</w:t>
      </w:r>
      <w:r>
        <w:rPr>
          <w:rFonts w:hint="eastAsia" w:ascii="仿宋_GB2312" w:eastAsia="仿宋_GB2312"/>
          <w:color w:val="auto"/>
          <w:sz w:val="32"/>
          <w:lang w:eastAsia="zh-CN"/>
        </w:rPr>
        <w:t>阶段性进度资金拨付，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拨付</w:t>
      </w:r>
      <w:r>
        <w:rPr>
          <w:rFonts w:hint="eastAsia" w:ascii="仿宋_GB2312" w:eastAsia="仿宋_GB2312"/>
          <w:sz w:val="32"/>
          <w:lang w:val="en-US" w:eastAsia="zh-CN"/>
        </w:rPr>
        <w:t>预分配金额的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60%</w:t>
      </w:r>
      <w:r>
        <w:rPr>
          <w:rFonts w:hint="eastAsia" w:ascii="仿宋_GB2312" w:eastAsia="仿宋_GB2312"/>
          <w:sz w:val="32"/>
          <w:lang w:val="en-US" w:eastAsia="zh-CN"/>
        </w:rPr>
        <w:t>。</w:t>
      </w:r>
      <w:r>
        <w:rPr>
          <w:rFonts w:hint="eastAsia" w:ascii="仿宋_GB2312" w:eastAsia="仿宋_GB2312"/>
          <w:color w:val="auto"/>
          <w:sz w:val="32"/>
        </w:rPr>
        <w:t>投资进度达到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8</w:t>
      </w:r>
      <w:r>
        <w:rPr>
          <w:rFonts w:hint="eastAsia" w:ascii="仿宋_GB2312" w:eastAsia="仿宋_GB2312"/>
          <w:color w:val="auto"/>
          <w:sz w:val="32"/>
        </w:rPr>
        <w:t>0%</w:t>
      </w:r>
      <w:r>
        <w:rPr>
          <w:rFonts w:hint="eastAsia" w:ascii="仿宋_GB2312" w:eastAsia="仿宋_GB2312"/>
          <w:color w:val="auto"/>
          <w:sz w:val="32"/>
          <w:lang w:eastAsia="zh-CN"/>
        </w:rPr>
        <w:t>后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剩余专项资金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一次性拨付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lang w:val="en-US" w:eastAsia="zh-CN"/>
        </w:rPr>
        <w:t>3.资金拨付要求</w:t>
      </w:r>
      <w:r>
        <w:rPr>
          <w:rFonts w:hint="eastAsia" w:ascii="仿宋_GB2312" w:eastAsia="仿宋_GB2312"/>
          <w:color w:val="auto"/>
          <w:sz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专项资金重点用于补助企业实施项目的设备购置安装、购置自制设备的材料及零部件、软件及系统购置调试、设计检测评价、第三方改造的工程服务费等支出。</w:t>
      </w:r>
      <w:r>
        <w:rPr>
          <w:rFonts w:hint="eastAsia" w:ascii="仿宋_GB2312" w:eastAsia="仿宋_GB2312"/>
          <w:color w:val="auto"/>
          <w:sz w:val="32"/>
          <w:lang w:eastAsia="zh-CN"/>
        </w:rPr>
        <w:t>原则上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在2023年12月底前完成项目验收和专项资金拨付。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投资进度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和实际投资额</w:t>
      </w:r>
      <w:r>
        <w:rPr>
          <w:rFonts w:hint="eastAsia" w:ascii="仿宋_GB2312" w:hAnsi="仿宋_GB2312" w:eastAsia="仿宋_GB2312" w:cs="仿宋_GB2312"/>
          <w:sz w:val="32"/>
          <w:szCs w:val="32"/>
        </w:rPr>
        <w:t>以统计部门证明的固定资产投资数据或第三方投资审计报告为依据，由市经信局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和市财政局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对照目标进行实地查看、把关。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</w:rPr>
        <w:t>.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其他要求：项目竣工后按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《兰溪市省级生产制造方式转型示范项目管理办法》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进行验收。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如项目验收不通过</w:t>
      </w:r>
      <w:r>
        <w:rPr>
          <w:rFonts w:hint="eastAsia" w:ascii="仿宋_GB2312" w:hAnsi="仿宋_GB2312" w:eastAsia="仿宋_GB2312" w:cs="仿宋_GB2312"/>
          <w:sz w:val="32"/>
        </w:rPr>
        <w:t>或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2023年6</w:t>
      </w:r>
      <w:r>
        <w:rPr>
          <w:rFonts w:hint="eastAsia" w:ascii="仿宋_GB2312" w:hAnsi="仿宋_GB2312" w:eastAsia="仿宋_GB2312" w:cs="仿宋_GB2312"/>
          <w:sz w:val="32"/>
        </w:rPr>
        <w:t>月3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</w:rPr>
        <w:t>日前固定资产投资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进度</w:t>
      </w:r>
      <w:r>
        <w:rPr>
          <w:rFonts w:hint="eastAsia" w:ascii="仿宋_GB2312" w:hAnsi="仿宋_GB2312" w:eastAsia="仿宋_GB2312" w:cs="仿宋_GB2312"/>
          <w:sz w:val="32"/>
        </w:rPr>
        <w:t>未达到30%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，相关资金由市经信局商市财政局后调整用于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清单内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其他项目，并行文报送省经信厅和省财政厅同意后实施。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年生产制造方式转型示范项目计划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（绿色化）方向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资金分配原则：专项资金根据项目计划设备总投资额进行预分配，浙江金梭纺织有限公司340万元，浙江陆晟纺织有限公司297万元，浙江九舜纺织有限公司193万元。项目实际投资额少于补助金额的，按实际投资额拨付；实际投资额超出计划总投资的，超出部分不再参与资金分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lang w:val="en-US" w:eastAsia="zh-CN"/>
        </w:rPr>
        <w:t>2.资金拨付计划：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按实施进度和验收结果进行综合分配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z w:val="32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设备</w:t>
      </w:r>
      <w:r>
        <w:rPr>
          <w:rFonts w:hint="eastAsia" w:ascii="仿宋_GB2312" w:eastAsia="仿宋_GB2312"/>
          <w:color w:val="auto"/>
          <w:sz w:val="32"/>
        </w:rPr>
        <w:t>投资进度达到30%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时，</w:t>
      </w:r>
      <w:r>
        <w:rPr>
          <w:rFonts w:hint="eastAsia" w:ascii="仿宋_GB2312" w:eastAsia="仿宋_GB2312"/>
          <w:color w:val="auto"/>
          <w:sz w:val="32"/>
        </w:rPr>
        <w:t>可向市经信局申请</w:t>
      </w:r>
      <w:r>
        <w:rPr>
          <w:rFonts w:hint="eastAsia" w:ascii="仿宋_GB2312" w:eastAsia="仿宋_GB2312"/>
          <w:color w:val="auto"/>
          <w:sz w:val="32"/>
          <w:lang w:eastAsia="zh-CN"/>
        </w:rPr>
        <w:t>阶段性进度资金拨付，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拨付预分配金额的60%。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剩余专项资金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项目验收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完成后一次性拨付</w:t>
      </w:r>
      <w:r>
        <w:rPr>
          <w:rFonts w:hint="eastAsia" w:ascii="仿宋_GB2312" w:hAnsi="仿宋_GB2312" w:eastAsia="仿宋_GB2312" w:cs="仿宋_GB2312"/>
          <w:color w:val="auto"/>
          <w:sz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lang w:val="en-US" w:eastAsia="zh-CN"/>
        </w:rPr>
        <w:t>3.资金拨付要求</w:t>
      </w:r>
      <w:r>
        <w:rPr>
          <w:rFonts w:hint="eastAsia" w:ascii="仿宋_GB2312" w:eastAsia="仿宋_GB2312"/>
          <w:color w:val="auto"/>
          <w:sz w:val="32"/>
          <w:lang w:eastAsia="zh-CN"/>
        </w:rPr>
        <w:t>：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专项资金重点用于补助企业实施项目的设备购置安装、购置自制设备的材料及零部件、软件及系统购置调试、设计检测评价、第三方改造的工程服务费等支出。</w:t>
      </w:r>
      <w:r>
        <w:rPr>
          <w:rFonts w:hint="eastAsia" w:ascii="仿宋_GB2312" w:eastAsia="仿宋_GB2312"/>
          <w:color w:val="auto"/>
          <w:sz w:val="32"/>
          <w:lang w:eastAsia="zh-CN"/>
        </w:rPr>
        <w:t>原则上</w:t>
      </w:r>
      <w:r>
        <w:rPr>
          <w:rFonts w:hint="eastAsia" w:ascii="仿宋_GB2312" w:eastAsia="仿宋_GB2312"/>
          <w:color w:val="auto"/>
          <w:sz w:val="32"/>
          <w:lang w:val="en-US" w:eastAsia="zh-CN"/>
        </w:rPr>
        <w:t>在2023年12月底前完成项目验收和专项资金拨付。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投资进度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和实际投资额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以统计部门证明的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设备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投资数据或第三方投资审计报告为依据，由市经信局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和市财政局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对照目标进行实地查看、把关。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其他要求：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如项目验收不通过</w:t>
      </w:r>
      <w:r>
        <w:rPr>
          <w:rFonts w:hint="eastAsia" w:ascii="仿宋_GB2312" w:hAnsi="仿宋_GB2312" w:eastAsia="仿宋_GB2312" w:cs="仿宋_GB2312"/>
          <w:color w:val="auto"/>
          <w:sz w:val="32"/>
        </w:rPr>
        <w:t>或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</w:rPr>
        <w:t>月3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</w:rPr>
        <w:t>日前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设备</w:t>
      </w:r>
      <w:r>
        <w:rPr>
          <w:rFonts w:hint="eastAsia" w:ascii="仿宋_GB2312" w:hAnsi="仿宋_GB2312" w:eastAsia="仿宋_GB2312" w:cs="仿宋_GB2312"/>
          <w:color w:val="auto"/>
          <w:sz w:val="32"/>
        </w:rPr>
        <w:t>投资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进度</w:t>
      </w:r>
      <w:r>
        <w:rPr>
          <w:rFonts w:hint="eastAsia" w:ascii="仿宋_GB2312" w:hAnsi="仿宋_GB2312" w:eastAsia="仿宋_GB2312" w:cs="仿宋_GB2312"/>
          <w:color w:val="auto"/>
          <w:sz w:val="32"/>
        </w:rPr>
        <w:t>未达到30%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，相关资金由市经信局商市财政局后调整用于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清单内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其他项目，并行文报送省经信厅和省财政厅同意后实施。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三、资金拨付申请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项目承担单位应于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2023年6</w:t>
      </w:r>
      <w:r>
        <w:rPr>
          <w:rFonts w:hint="eastAsia" w:ascii="仿宋_GB2312" w:hAnsi="仿宋_GB2312" w:eastAsia="仿宋_GB2312" w:cs="仿宋_GB2312"/>
          <w:sz w:val="32"/>
        </w:rPr>
        <w:t>月3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前向市经信局提交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中期评审申请材料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，由市经信局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、市财政局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审核后拟定专项资金分配方案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，报市政府批准后拨付。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四、附则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（一）本办法自发布之日起实施，由市经信局和市财政局负责解释。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（二）其他事项参照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《兰溪市省级生产制造方式转型示范项目管理办法》执行。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省级资金与市级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统筹使用，如有省级补助未达市级政策补助标准的，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差额部分由市级资金补足。</w:t>
      </w:r>
    </w:p>
    <w:sectPr>
      <w:pgSz w:w="11906" w:h="16838"/>
      <w:pgMar w:top="1701" w:right="1588" w:bottom="158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3C2FB8"/>
    <w:multiLevelType w:val="singleLevel"/>
    <w:tmpl w:val="EA3C2FB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MxZDJkNWQ4YTY2NzMzMTVjYzdlNzBjNWNmZWFlZmYifQ=="/>
  </w:docVars>
  <w:rsids>
    <w:rsidRoot w:val="007425F0"/>
    <w:rsid w:val="000B41A6"/>
    <w:rsid w:val="000C7429"/>
    <w:rsid w:val="000E3E0B"/>
    <w:rsid w:val="00210681"/>
    <w:rsid w:val="00291876"/>
    <w:rsid w:val="002F25C7"/>
    <w:rsid w:val="003034A8"/>
    <w:rsid w:val="003934BF"/>
    <w:rsid w:val="00422092"/>
    <w:rsid w:val="0044500E"/>
    <w:rsid w:val="004C23B5"/>
    <w:rsid w:val="005063C0"/>
    <w:rsid w:val="005271BD"/>
    <w:rsid w:val="005541DC"/>
    <w:rsid w:val="00564AC4"/>
    <w:rsid w:val="005B2275"/>
    <w:rsid w:val="006B1A94"/>
    <w:rsid w:val="007425F0"/>
    <w:rsid w:val="00751B8F"/>
    <w:rsid w:val="00761CBD"/>
    <w:rsid w:val="00761D15"/>
    <w:rsid w:val="007A3DFF"/>
    <w:rsid w:val="007B75F5"/>
    <w:rsid w:val="008954BA"/>
    <w:rsid w:val="00896B0B"/>
    <w:rsid w:val="0091670F"/>
    <w:rsid w:val="00960F49"/>
    <w:rsid w:val="009F28B4"/>
    <w:rsid w:val="00A0671E"/>
    <w:rsid w:val="00A52981"/>
    <w:rsid w:val="00AD0A48"/>
    <w:rsid w:val="00AD77B0"/>
    <w:rsid w:val="00AE0948"/>
    <w:rsid w:val="00D17614"/>
    <w:rsid w:val="00D353C4"/>
    <w:rsid w:val="00D83F4F"/>
    <w:rsid w:val="00D914B5"/>
    <w:rsid w:val="00DD4278"/>
    <w:rsid w:val="00E04372"/>
    <w:rsid w:val="00E4240A"/>
    <w:rsid w:val="00F91B09"/>
    <w:rsid w:val="00FF6F76"/>
    <w:rsid w:val="026A060A"/>
    <w:rsid w:val="07DB3E10"/>
    <w:rsid w:val="0A1978EE"/>
    <w:rsid w:val="0E144A83"/>
    <w:rsid w:val="113B4667"/>
    <w:rsid w:val="12D3701F"/>
    <w:rsid w:val="2905272D"/>
    <w:rsid w:val="31BC6983"/>
    <w:rsid w:val="374A1B90"/>
    <w:rsid w:val="4F803497"/>
    <w:rsid w:val="503F2012"/>
    <w:rsid w:val="53BB6DCA"/>
    <w:rsid w:val="54641DDB"/>
    <w:rsid w:val="6313199F"/>
    <w:rsid w:val="7263261F"/>
    <w:rsid w:val="790E52EE"/>
    <w:rsid w:val="7AB1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paragraph" w:customStyle="1" w:styleId="8">
    <w:name w:val="0"/>
    <w:basedOn w:val="1"/>
    <w:qFormat/>
    <w:uiPriority w:val="0"/>
    <w:pPr>
      <w:adjustRightInd/>
      <w:spacing w:after="0"/>
    </w:pPr>
    <w:rPr>
      <w:rFonts w:ascii="Times New Roman" w:hAnsi="Times New Roman" w:eastAsia="仿宋_GB2312" w:cs="Times New Roman"/>
      <w:sz w:val="32"/>
      <w:szCs w:val="32"/>
    </w:rPr>
  </w:style>
  <w:style w:type="character" w:customStyle="1" w:styleId="9">
    <w:name w:val="批注框文本 Char"/>
    <w:basedOn w:val="6"/>
    <w:link w:val="2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ahoma" w:hAnsi="Tahoma" w:eastAsia="微软雅黑" w:cs="宋体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ahoma" w:hAnsi="Tahoma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A360E3-0A47-41E2-A78D-577DFD570D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638</Words>
  <Characters>672</Characters>
  <Lines>4</Lines>
  <Paragraphs>1</Paragraphs>
  <TotalTime>2</TotalTime>
  <ScaleCrop>false</ScaleCrop>
  <LinksUpToDate>false</LinksUpToDate>
  <CharactersWithSpaces>675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cz</dc:creator>
  <cp:lastModifiedBy>Administrator</cp:lastModifiedBy>
  <cp:lastPrinted>2022-05-26T08:03:00Z</cp:lastPrinted>
  <dcterms:modified xsi:type="dcterms:W3CDTF">2023-04-22T07:03:23Z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9FACF4F23F844BE0BD8B34417E8EE731</vt:lpwstr>
  </property>
</Properties>
</file>