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bCs/>
          <w:spacing w:val="15"/>
          <w:sz w:val="32"/>
          <w:szCs w:val="32"/>
        </w:rPr>
      </w:pPr>
    </w:p>
    <w:p>
      <w:pPr>
        <w:pStyle w:val="3"/>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r>
        <w:rPr>
          <w:rFonts w:hint="eastAsia" w:ascii="Times New Roman" w:hAnsi="Times New Roman" w:eastAsia="方正小标宋简体"/>
          <w:b/>
          <w:spacing w:val="15"/>
          <w:sz w:val="44"/>
          <w:szCs w:val="44"/>
        </w:rPr>
        <w:t>兰溪市劳动人事争议仲裁院</w:t>
      </w:r>
    </w:p>
    <w:p>
      <w:pPr>
        <w:spacing w:line="560" w:lineRule="exact"/>
        <w:jc w:val="center"/>
        <w:rPr>
          <w:rFonts w:ascii="Times New Roman" w:hAnsi="Times New Roman" w:eastAsia="方正小标宋简体"/>
          <w:b/>
          <w:spacing w:val="15"/>
          <w:sz w:val="44"/>
          <w:szCs w:val="44"/>
        </w:rPr>
      </w:pPr>
      <w:r>
        <w:rPr>
          <w:rFonts w:ascii="Times New Roman" w:hAnsi="Times New Roman" w:eastAsia="方正小标宋简体"/>
          <w:b/>
          <w:spacing w:val="15"/>
          <w:sz w:val="44"/>
          <w:szCs w:val="44"/>
        </w:rPr>
        <w:t>202</w:t>
      </w:r>
      <w:r>
        <w:rPr>
          <w:rFonts w:hint="eastAsia" w:ascii="Times New Roman" w:hAnsi="Times New Roman" w:eastAsia="方正小标宋简体"/>
          <w:b/>
          <w:spacing w:val="15"/>
          <w:sz w:val="44"/>
          <w:szCs w:val="44"/>
        </w:rPr>
        <w:t>3</w:t>
      </w:r>
      <w:r>
        <w:rPr>
          <w:rFonts w:ascii="Times New Roman" w:hAnsi="Times New Roman" w:eastAsia="方正小标宋简体"/>
          <w:b/>
          <w:spacing w:val="15"/>
          <w:sz w:val="44"/>
          <w:szCs w:val="44"/>
        </w:rPr>
        <w:t>年单位预算</w:t>
      </w: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overflowPunct/>
        <w:autoSpaceDE/>
        <w:autoSpaceDN/>
        <w:adjustRightInd/>
        <w:spacing w:line="560" w:lineRule="exact"/>
        <w:textAlignment w:val="auto"/>
        <w:rPr>
          <w:rStyle w:val="7"/>
          <w:rFonts w:ascii="Times New Roman" w:hAnsi="Times New Roman" w:eastAsia="仿宋_GB2312"/>
          <w:color w:val="000000"/>
          <w:sz w:val="32"/>
          <w:szCs w:val="32"/>
        </w:rPr>
      </w:pPr>
    </w:p>
    <w:p>
      <w:pPr>
        <w:overflowPunct/>
        <w:autoSpaceDE/>
        <w:autoSpaceDN/>
        <w:adjustRightInd/>
        <w:spacing w:line="560" w:lineRule="exact"/>
        <w:ind w:firstLine="630" w:firstLineChars="196"/>
        <w:textAlignment w:val="auto"/>
        <w:rPr>
          <w:rStyle w:val="7"/>
          <w:rFonts w:ascii="Times New Roman" w:hAnsi="Times New Roman" w:eastAsia="黑体"/>
          <w:bCs w:val="0"/>
          <w:color w:val="000000"/>
          <w:sz w:val="32"/>
          <w:szCs w:val="32"/>
        </w:rPr>
      </w:pPr>
    </w:p>
    <w:p>
      <w:pPr>
        <w:overflowPunct/>
        <w:autoSpaceDE/>
        <w:autoSpaceDN/>
        <w:adjustRightInd/>
        <w:spacing w:line="520" w:lineRule="exact"/>
        <w:ind w:firstLine="627" w:firstLineChars="196"/>
        <w:jc w:val="center"/>
        <w:textAlignment w:val="auto"/>
        <w:rPr>
          <w:rStyle w:val="7"/>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7"/>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7"/>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7"/>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7"/>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7"/>
          <w:rFonts w:ascii="Times New Roman" w:hAnsi="Times New Roman" w:eastAsia="黑体"/>
          <w:b w:val="0"/>
          <w:color w:val="000000"/>
          <w:sz w:val="32"/>
          <w:szCs w:val="32"/>
        </w:rPr>
      </w:pPr>
      <w:r>
        <w:rPr>
          <w:rStyle w:val="7"/>
          <w:rFonts w:ascii="Times New Roman" w:hAnsi="Times New Roman" w:eastAsia="黑体"/>
          <w:b w:val="0"/>
          <w:color w:val="000000"/>
          <w:sz w:val="32"/>
          <w:szCs w:val="32"/>
        </w:rPr>
        <w:t>目录</w:t>
      </w:r>
    </w:p>
    <w:p>
      <w:pPr>
        <w:overflowPunct/>
        <w:autoSpaceDE/>
        <w:autoSpaceDN/>
        <w:adjustRightInd/>
        <w:spacing w:line="520" w:lineRule="exact"/>
        <w:textAlignment w:val="auto"/>
        <w:rPr>
          <w:rFonts w:ascii="Times New Roman" w:hAnsi="Times New Roman" w:eastAsia="黑体"/>
          <w:sz w:val="32"/>
        </w:rPr>
      </w:pPr>
      <w:r>
        <w:rPr>
          <w:rFonts w:ascii="Times New Roman" w:hAnsi="Times New Roman" w:eastAsia="黑体"/>
          <w:color w:val="000000"/>
          <w:sz w:val="32"/>
        </w:rPr>
        <w:t>一、</w:t>
      </w:r>
      <w:r>
        <w:rPr>
          <w:rStyle w:val="7"/>
          <w:rFonts w:ascii="Times New Roman" w:hAnsi="Times New Roman" w:eastAsia="黑体"/>
          <w:b w:val="0"/>
          <w:color w:val="000000"/>
          <w:sz w:val="32"/>
          <w:szCs w:val="32"/>
        </w:rPr>
        <w:t>单位概况</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（一）主要职能</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（二）单位机构设置情况</w:t>
      </w:r>
    </w:p>
    <w:p>
      <w:pPr>
        <w:overflowPunct/>
        <w:autoSpaceDE/>
        <w:autoSpaceDN/>
        <w:adjustRightInd/>
        <w:spacing w:line="520" w:lineRule="exact"/>
        <w:textAlignment w:val="auto"/>
        <w:rPr>
          <w:rStyle w:val="7"/>
          <w:rFonts w:ascii="Times New Roman" w:hAnsi="Times New Roman" w:eastAsia="黑体"/>
          <w:b w:val="0"/>
          <w:color w:val="000000"/>
          <w:sz w:val="32"/>
          <w:szCs w:val="32"/>
        </w:rPr>
      </w:pPr>
      <w:r>
        <w:rPr>
          <w:rStyle w:val="7"/>
          <w:rFonts w:ascii="Times New Roman" w:hAnsi="Times New Roman" w:eastAsia="黑体"/>
          <w:b w:val="0"/>
          <w:color w:val="000000"/>
          <w:sz w:val="32"/>
          <w:szCs w:val="32"/>
        </w:rPr>
        <w:t>二、</w:t>
      </w:r>
      <w:r>
        <w:rPr>
          <w:rStyle w:val="7"/>
          <w:rFonts w:hint="eastAsia" w:ascii="Times New Roman" w:hAnsi="Times New Roman" w:eastAsia="黑体"/>
          <w:b w:val="0"/>
          <w:color w:val="000000"/>
          <w:sz w:val="32"/>
          <w:szCs w:val="32"/>
        </w:rPr>
        <w:t>2023</w:t>
      </w:r>
      <w:r>
        <w:rPr>
          <w:rStyle w:val="7"/>
          <w:rFonts w:ascii="Times New Roman" w:hAnsi="Times New Roman" w:eastAsia="黑体"/>
          <w:b w:val="0"/>
          <w:color w:val="000000"/>
          <w:sz w:val="32"/>
          <w:szCs w:val="32"/>
        </w:rPr>
        <w:t>年</w:t>
      </w:r>
      <w:r>
        <w:rPr>
          <w:rStyle w:val="7"/>
          <w:rFonts w:hint="eastAsia" w:ascii="Times New Roman" w:hAnsi="Times New Roman" w:eastAsia="黑体"/>
          <w:b w:val="0"/>
          <w:color w:val="000000"/>
          <w:sz w:val="32"/>
          <w:szCs w:val="32"/>
        </w:rPr>
        <w:t>兰溪市劳动人事争议仲裁院</w:t>
      </w:r>
      <w:r>
        <w:rPr>
          <w:rStyle w:val="7"/>
          <w:rFonts w:ascii="Times New Roman" w:hAnsi="Times New Roman" w:eastAsia="黑体"/>
          <w:b w:val="0"/>
          <w:color w:val="000000"/>
          <w:sz w:val="32"/>
          <w:szCs w:val="32"/>
        </w:rPr>
        <w:t>预算安排情况说明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（一）关于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年收支预算情况的总体说明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（二）关于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年收入预算情况说明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（三）关于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年支出预算情况说明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（四）关于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年财政拨款收支预算情况的总体说明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（五）关于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年一般公共预算当年拨款情况说明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（六）关于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年一般公共预算基本支出情况说明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（七）关于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年政府性基金预算支出情况说明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（八）关于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年国有资本经营预算支出情况说明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（九）关于</w:t>
      </w:r>
      <w:r>
        <w:rPr>
          <w:rFonts w:hint="eastAsia" w:ascii="Times New Roman" w:hAnsi="Times New Roman" w:eastAsia="楷体_GB2312"/>
          <w:bCs/>
          <w:sz w:val="32"/>
          <w:szCs w:val="32"/>
        </w:rPr>
        <w:t>兰溪市劳动人事争议仲裁院2023</w:t>
      </w:r>
      <w:r>
        <w:rPr>
          <w:rFonts w:ascii="Times New Roman" w:hAnsi="Times New Roman" w:eastAsia="楷体_GB2312"/>
          <w:bCs/>
          <w:sz w:val="32"/>
          <w:szCs w:val="32"/>
        </w:rPr>
        <w:t>年一般公共预算“三公”经费预算情况说明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（十）其他重要事项的情况说明</w:t>
      </w:r>
    </w:p>
    <w:p>
      <w:pPr>
        <w:pStyle w:val="10"/>
        <w:overflowPunct/>
        <w:autoSpaceDE/>
        <w:autoSpaceDN/>
        <w:adjustRightInd/>
        <w:spacing w:line="520" w:lineRule="exact"/>
        <w:textAlignment w:val="auto"/>
        <w:rPr>
          <w:rStyle w:val="7"/>
          <w:rFonts w:ascii="Times New Roman" w:hAnsi="Times New Roman" w:eastAsia="黑体"/>
          <w:b w:val="0"/>
          <w:color w:val="000000"/>
          <w:kern w:val="2"/>
          <w:sz w:val="32"/>
          <w:szCs w:val="32"/>
        </w:rPr>
      </w:pPr>
      <w:r>
        <w:rPr>
          <w:rStyle w:val="7"/>
          <w:rFonts w:ascii="Times New Roman" w:hAnsi="Times New Roman" w:eastAsia="黑体"/>
          <w:b w:val="0"/>
          <w:color w:val="000000"/>
          <w:kern w:val="2"/>
          <w:sz w:val="32"/>
          <w:szCs w:val="32"/>
        </w:rPr>
        <w:t>三、名词解释</w:t>
      </w:r>
    </w:p>
    <w:p>
      <w:pPr>
        <w:overflowPunct/>
        <w:autoSpaceDE/>
        <w:autoSpaceDN/>
        <w:adjustRightInd/>
        <w:spacing w:line="520" w:lineRule="exact"/>
        <w:textAlignment w:val="auto"/>
        <w:rPr>
          <w:rStyle w:val="7"/>
          <w:rFonts w:ascii="Times New Roman" w:hAnsi="Times New Roman" w:eastAsia="黑体"/>
          <w:b w:val="0"/>
          <w:color w:val="000000"/>
          <w:sz w:val="32"/>
          <w:szCs w:val="32"/>
        </w:rPr>
      </w:pPr>
      <w:r>
        <w:rPr>
          <w:rStyle w:val="7"/>
          <w:rFonts w:ascii="Times New Roman" w:hAnsi="Times New Roman" w:eastAsia="黑体"/>
          <w:b w:val="0"/>
          <w:color w:val="000000"/>
          <w:sz w:val="32"/>
          <w:szCs w:val="32"/>
        </w:rPr>
        <w:t>四、</w:t>
      </w:r>
      <w:r>
        <w:rPr>
          <w:rStyle w:val="7"/>
          <w:rFonts w:hint="eastAsia" w:ascii="Times New Roman" w:hAnsi="Times New Roman" w:eastAsia="黑体"/>
          <w:b w:val="0"/>
          <w:color w:val="000000"/>
          <w:sz w:val="32"/>
          <w:szCs w:val="32"/>
        </w:rPr>
        <w:t>2023</w:t>
      </w:r>
      <w:r>
        <w:rPr>
          <w:rStyle w:val="7"/>
          <w:rFonts w:ascii="Times New Roman" w:hAnsi="Times New Roman" w:eastAsia="黑体"/>
          <w:b w:val="0"/>
          <w:color w:val="000000"/>
          <w:sz w:val="32"/>
          <w:szCs w:val="32"/>
        </w:rPr>
        <w:t>年</w:t>
      </w:r>
      <w:r>
        <w:rPr>
          <w:rStyle w:val="7"/>
          <w:rFonts w:hint="eastAsia" w:ascii="Times New Roman" w:hAnsi="Times New Roman" w:eastAsia="黑体"/>
          <w:b w:val="0"/>
          <w:color w:val="000000"/>
          <w:sz w:val="32"/>
          <w:szCs w:val="32"/>
        </w:rPr>
        <w:t>兰溪市劳动人事争议仲裁院</w:t>
      </w:r>
      <w:r>
        <w:rPr>
          <w:rStyle w:val="7"/>
          <w:rFonts w:ascii="Times New Roman" w:hAnsi="Times New Roman" w:eastAsia="黑体"/>
          <w:b w:val="0"/>
          <w:color w:val="000000"/>
          <w:sz w:val="32"/>
          <w:szCs w:val="32"/>
        </w:rPr>
        <w:t>预算表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（一）</w:t>
      </w:r>
      <w:r>
        <w:rPr>
          <w:rFonts w:hint="eastAsia" w:ascii="Times New Roman" w:hAnsi="Times New Roman" w:eastAsia="楷体_GB2312"/>
          <w:bCs/>
          <w:sz w:val="32"/>
          <w:szCs w:val="32"/>
        </w:rPr>
        <w:t>2023</w:t>
      </w:r>
      <w:r>
        <w:rPr>
          <w:rFonts w:ascii="Times New Roman" w:hAnsi="Times New Roman" w:eastAsia="楷体_GB2312"/>
          <w:bCs/>
          <w:sz w:val="32"/>
          <w:szCs w:val="32"/>
        </w:rPr>
        <w:t>年单位收支预算总表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（二）</w:t>
      </w:r>
      <w:r>
        <w:rPr>
          <w:rFonts w:hint="eastAsia" w:ascii="Times New Roman" w:hAnsi="Times New Roman" w:eastAsia="楷体_GB2312"/>
          <w:bCs/>
          <w:sz w:val="32"/>
          <w:szCs w:val="32"/>
        </w:rPr>
        <w:t>2023</w:t>
      </w:r>
      <w:r>
        <w:rPr>
          <w:rFonts w:ascii="Times New Roman" w:hAnsi="Times New Roman" w:eastAsia="楷体_GB2312"/>
          <w:bCs/>
          <w:sz w:val="32"/>
          <w:szCs w:val="32"/>
        </w:rPr>
        <w:t>年单位收入预算总表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（三）</w:t>
      </w:r>
      <w:r>
        <w:rPr>
          <w:rFonts w:hint="eastAsia" w:ascii="Times New Roman" w:hAnsi="Times New Roman" w:eastAsia="楷体_GB2312"/>
          <w:bCs/>
          <w:sz w:val="32"/>
          <w:szCs w:val="32"/>
        </w:rPr>
        <w:t>2023</w:t>
      </w:r>
      <w:r>
        <w:rPr>
          <w:rFonts w:ascii="Times New Roman" w:hAnsi="Times New Roman" w:eastAsia="楷体_GB2312"/>
          <w:bCs/>
          <w:sz w:val="32"/>
          <w:szCs w:val="32"/>
        </w:rPr>
        <w:t>年单位支出预算总表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（四）</w:t>
      </w:r>
      <w:r>
        <w:rPr>
          <w:rFonts w:hint="eastAsia" w:ascii="Times New Roman" w:hAnsi="Times New Roman" w:eastAsia="楷体_GB2312"/>
          <w:bCs/>
          <w:sz w:val="32"/>
          <w:szCs w:val="32"/>
        </w:rPr>
        <w:t>2023</w:t>
      </w:r>
      <w:r>
        <w:rPr>
          <w:rFonts w:ascii="Times New Roman" w:hAnsi="Times New Roman" w:eastAsia="楷体_GB2312"/>
          <w:bCs/>
          <w:sz w:val="32"/>
          <w:szCs w:val="32"/>
        </w:rPr>
        <w:t>年单位财政拨款收支预算总表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（五）</w:t>
      </w:r>
      <w:r>
        <w:rPr>
          <w:rFonts w:hint="eastAsia" w:ascii="Times New Roman" w:hAnsi="Times New Roman" w:eastAsia="楷体_GB2312"/>
          <w:bCs/>
          <w:sz w:val="32"/>
          <w:szCs w:val="32"/>
        </w:rPr>
        <w:t>2023</w:t>
      </w:r>
      <w:r>
        <w:rPr>
          <w:rFonts w:ascii="Times New Roman" w:hAnsi="Times New Roman" w:eastAsia="楷体_GB2312"/>
          <w:bCs/>
          <w:sz w:val="32"/>
          <w:szCs w:val="32"/>
        </w:rPr>
        <w:t>年单位一般公共预算支出表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（六）</w:t>
      </w:r>
      <w:r>
        <w:rPr>
          <w:rFonts w:hint="eastAsia" w:ascii="Times New Roman" w:hAnsi="Times New Roman" w:eastAsia="楷体_GB2312"/>
          <w:bCs/>
          <w:sz w:val="32"/>
          <w:szCs w:val="32"/>
        </w:rPr>
        <w:t>2023</w:t>
      </w:r>
      <w:r>
        <w:rPr>
          <w:rFonts w:ascii="Times New Roman" w:hAnsi="Times New Roman" w:eastAsia="楷体_GB2312"/>
          <w:bCs/>
          <w:sz w:val="32"/>
          <w:szCs w:val="32"/>
        </w:rPr>
        <w:t>年单位一般公共预算基本支出表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（七）</w:t>
      </w:r>
      <w:r>
        <w:rPr>
          <w:rFonts w:hint="eastAsia" w:ascii="Times New Roman" w:hAnsi="Times New Roman" w:eastAsia="楷体_GB2312"/>
          <w:bCs/>
          <w:sz w:val="32"/>
          <w:szCs w:val="32"/>
        </w:rPr>
        <w:t>2023</w:t>
      </w:r>
      <w:r>
        <w:rPr>
          <w:rFonts w:ascii="Times New Roman" w:hAnsi="Times New Roman" w:eastAsia="楷体_GB2312"/>
          <w:bCs/>
          <w:sz w:val="32"/>
          <w:szCs w:val="32"/>
        </w:rPr>
        <w:t>年单位一般公共预算“三公”经费支出表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（八）</w:t>
      </w:r>
      <w:r>
        <w:rPr>
          <w:rFonts w:hint="eastAsia" w:ascii="Times New Roman" w:hAnsi="Times New Roman" w:eastAsia="楷体_GB2312"/>
          <w:bCs/>
          <w:sz w:val="32"/>
          <w:szCs w:val="32"/>
        </w:rPr>
        <w:t>2023</w:t>
      </w:r>
      <w:r>
        <w:rPr>
          <w:rFonts w:ascii="Times New Roman" w:hAnsi="Times New Roman" w:eastAsia="楷体_GB2312"/>
          <w:bCs/>
          <w:sz w:val="32"/>
          <w:szCs w:val="32"/>
        </w:rPr>
        <w:t>年单位政府性基金预算支出表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（九）</w:t>
      </w:r>
      <w:r>
        <w:rPr>
          <w:rFonts w:hint="eastAsia" w:ascii="Times New Roman" w:hAnsi="Times New Roman" w:eastAsia="楷体_GB2312"/>
          <w:bCs/>
          <w:sz w:val="32"/>
          <w:szCs w:val="32"/>
        </w:rPr>
        <w:t>2023</w:t>
      </w:r>
      <w:r>
        <w:rPr>
          <w:rFonts w:ascii="Times New Roman" w:hAnsi="Times New Roman" w:eastAsia="楷体_GB2312"/>
          <w:bCs/>
          <w:sz w:val="32"/>
          <w:szCs w:val="32"/>
        </w:rPr>
        <w:t>年单位国有资本经营预算支出表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（十）</w:t>
      </w:r>
      <w:r>
        <w:rPr>
          <w:rFonts w:hint="eastAsia" w:ascii="Times New Roman" w:hAnsi="Times New Roman" w:eastAsia="楷体_GB2312"/>
          <w:bCs/>
          <w:sz w:val="32"/>
          <w:szCs w:val="32"/>
        </w:rPr>
        <w:t>2023</w:t>
      </w:r>
      <w:r>
        <w:rPr>
          <w:rFonts w:ascii="Times New Roman" w:hAnsi="Times New Roman" w:eastAsia="楷体_GB2312"/>
          <w:bCs/>
          <w:sz w:val="32"/>
          <w:szCs w:val="32"/>
        </w:rPr>
        <w:t>年单位项目支出预算表</w:t>
      </w:r>
    </w:p>
    <w:p>
      <w:pPr>
        <w:overflowPunct/>
        <w:autoSpaceDE/>
        <w:autoSpaceDN/>
        <w:adjustRightInd/>
        <w:spacing w:line="560" w:lineRule="exact"/>
        <w:ind w:firstLine="630" w:firstLineChars="196"/>
        <w:textAlignment w:val="auto"/>
        <w:rPr>
          <w:rStyle w:val="7"/>
          <w:rFonts w:ascii="Times New Roman" w:hAnsi="Times New Roman" w:eastAsia="黑体"/>
          <w:bCs w:val="0"/>
          <w:color w:val="000000"/>
          <w:sz w:val="32"/>
          <w:szCs w:val="32"/>
        </w:rPr>
      </w:pPr>
    </w:p>
    <w:p>
      <w:pPr>
        <w:overflowPunct/>
        <w:autoSpaceDE/>
        <w:autoSpaceDN/>
        <w:adjustRightInd/>
        <w:spacing w:line="560" w:lineRule="exact"/>
        <w:ind w:firstLine="630" w:firstLineChars="196"/>
        <w:textAlignment w:val="auto"/>
        <w:rPr>
          <w:rStyle w:val="7"/>
          <w:rFonts w:ascii="Times New Roman" w:hAnsi="Times New Roman" w:eastAsia="黑体"/>
          <w:bCs w:val="0"/>
          <w:color w:val="000000"/>
          <w:sz w:val="32"/>
          <w:szCs w:val="32"/>
        </w:rPr>
      </w:pPr>
    </w:p>
    <w:p>
      <w:pPr>
        <w:overflowPunct/>
        <w:autoSpaceDE/>
        <w:autoSpaceDN/>
        <w:adjustRightInd/>
        <w:spacing w:line="560" w:lineRule="exact"/>
        <w:ind w:firstLine="630" w:firstLineChars="196"/>
        <w:textAlignment w:val="auto"/>
        <w:rPr>
          <w:rStyle w:val="7"/>
          <w:rFonts w:ascii="Times New Roman" w:hAnsi="Times New Roman" w:eastAsia="黑体"/>
          <w:bCs w:val="0"/>
          <w:color w:val="000000"/>
          <w:sz w:val="32"/>
          <w:szCs w:val="32"/>
        </w:rPr>
      </w:pPr>
    </w:p>
    <w:p>
      <w:pPr>
        <w:overflowPunct/>
        <w:autoSpaceDE/>
        <w:autoSpaceDN/>
        <w:adjustRightInd/>
        <w:spacing w:line="560" w:lineRule="exact"/>
        <w:ind w:firstLine="630" w:firstLineChars="196"/>
        <w:textAlignment w:val="auto"/>
        <w:rPr>
          <w:rStyle w:val="7"/>
          <w:rFonts w:ascii="Times New Roman" w:hAnsi="Times New Roman" w:eastAsia="黑体"/>
          <w:bCs w:val="0"/>
          <w:color w:val="000000"/>
          <w:sz w:val="32"/>
          <w:szCs w:val="32"/>
        </w:rPr>
      </w:pPr>
    </w:p>
    <w:p>
      <w:pPr>
        <w:pStyle w:val="2"/>
        <w:rPr>
          <w:rStyle w:val="7"/>
          <w:rFonts w:hint="default" w:ascii="Times New Roman" w:hAnsi="Times New Roman" w:eastAsia="黑体"/>
          <w:bCs w:val="0"/>
          <w:sz w:val="32"/>
          <w:szCs w:val="32"/>
        </w:rPr>
      </w:pPr>
    </w:p>
    <w:p>
      <w:pPr>
        <w:pStyle w:val="2"/>
        <w:rPr>
          <w:rStyle w:val="7"/>
          <w:rFonts w:hint="default" w:ascii="Times New Roman" w:hAnsi="Times New Roman" w:eastAsia="黑体"/>
          <w:bCs w:val="0"/>
          <w:sz w:val="32"/>
          <w:szCs w:val="32"/>
        </w:rPr>
      </w:pPr>
    </w:p>
    <w:p>
      <w:pPr>
        <w:pStyle w:val="2"/>
        <w:rPr>
          <w:rStyle w:val="7"/>
          <w:rFonts w:hint="default" w:ascii="Times New Roman" w:hAnsi="Times New Roman" w:eastAsia="黑体"/>
          <w:bCs w:val="0"/>
          <w:sz w:val="32"/>
          <w:szCs w:val="32"/>
        </w:rPr>
      </w:pPr>
    </w:p>
    <w:p>
      <w:pPr>
        <w:overflowPunct/>
        <w:autoSpaceDE/>
        <w:autoSpaceDN/>
        <w:adjustRightInd/>
        <w:spacing w:line="560" w:lineRule="exact"/>
        <w:ind w:firstLine="630" w:firstLineChars="196"/>
        <w:textAlignment w:val="auto"/>
        <w:rPr>
          <w:rStyle w:val="7"/>
          <w:rFonts w:ascii="Times New Roman" w:hAnsi="Times New Roman" w:eastAsia="黑体"/>
          <w:bCs w:val="0"/>
          <w:color w:val="000000"/>
          <w:sz w:val="32"/>
          <w:szCs w:val="32"/>
        </w:rPr>
      </w:pPr>
      <w:r>
        <w:rPr>
          <w:rStyle w:val="7"/>
          <w:rFonts w:ascii="Times New Roman" w:hAnsi="Times New Roman" w:eastAsia="黑体"/>
          <w:bCs w:val="0"/>
          <w:color w:val="000000"/>
          <w:sz w:val="32"/>
          <w:szCs w:val="32"/>
        </w:rPr>
        <w:t>一、</w:t>
      </w:r>
      <w:r>
        <w:rPr>
          <w:rStyle w:val="7"/>
          <w:rFonts w:hint="eastAsia" w:ascii="Times New Roman" w:hAnsi="Times New Roman" w:eastAsia="黑体"/>
          <w:bCs w:val="0"/>
          <w:color w:val="000000"/>
          <w:sz w:val="32"/>
          <w:szCs w:val="32"/>
        </w:rPr>
        <w:t>兰溪市劳动人事争议仲裁院</w:t>
      </w:r>
      <w:r>
        <w:rPr>
          <w:rStyle w:val="7"/>
          <w:rFonts w:ascii="Times New Roman" w:hAnsi="Times New Roman" w:eastAsia="黑体"/>
          <w:bCs w:val="0"/>
          <w:color w:val="000000"/>
          <w:sz w:val="32"/>
          <w:szCs w:val="32"/>
        </w:rPr>
        <w:t>概况</w:t>
      </w:r>
    </w:p>
    <w:p>
      <w:pPr>
        <w:overflowPunct/>
        <w:autoSpaceDE/>
        <w:autoSpaceDN/>
        <w:adjustRightInd/>
        <w:spacing w:line="560" w:lineRule="exact"/>
        <w:ind w:firstLine="630" w:firstLineChars="196"/>
        <w:textAlignment w:val="auto"/>
        <w:rPr>
          <w:rFonts w:ascii="Times New Roman" w:hAnsi="Times New Roman" w:eastAsia="楷体_GB2312"/>
          <w:b/>
          <w:sz w:val="32"/>
          <w:szCs w:val="32"/>
          <w:u w:val="single"/>
        </w:rPr>
      </w:pPr>
      <w:r>
        <w:rPr>
          <w:rFonts w:ascii="Times New Roman" w:hAnsi="Times New Roman" w:eastAsia="楷体_GB2312"/>
          <w:b/>
          <w:sz w:val="32"/>
          <w:szCs w:val="32"/>
        </w:rPr>
        <w:t>（一）主要职能</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1.承办处理劳动（人事）争议案件的日常工作。</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2.处理本级管辖的劳动（人事）争议案件。</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3.管理仲裁委员会的文书、档案、印鉴，做好仲裁委员会日常工作。</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4.负责全市基层劳动（人事）争议调解组织的业务指导和管理工作。</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5.负责劳动（人事）争议及其处理方面的法律、法规、政策的宣传和咨询工作。</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6.完成兰溪市劳动人事争议仲裁院交办的其他任务。</w:t>
      </w:r>
    </w:p>
    <w:p>
      <w:pPr>
        <w:overflowPunct/>
        <w:autoSpaceDE/>
        <w:autoSpaceDN/>
        <w:adjustRightInd/>
        <w:spacing w:line="560" w:lineRule="exact"/>
        <w:ind w:firstLine="630" w:firstLineChars="196"/>
        <w:textAlignment w:val="auto"/>
        <w:rPr>
          <w:rFonts w:ascii="Times New Roman" w:hAnsi="Times New Roman" w:eastAsia="楷体_GB2312"/>
          <w:b/>
          <w:sz w:val="32"/>
          <w:szCs w:val="32"/>
          <w:u w:val="single"/>
        </w:rPr>
      </w:pPr>
      <w:r>
        <w:rPr>
          <w:rFonts w:ascii="Times New Roman" w:hAnsi="Times New Roman" w:eastAsia="楷体_GB2312"/>
          <w:b/>
          <w:sz w:val="32"/>
          <w:szCs w:val="32"/>
        </w:rPr>
        <w:t>（二）单位机构设置情况</w:t>
      </w:r>
    </w:p>
    <w:p>
      <w:pPr>
        <w:widowControl w:val="0"/>
        <w:spacing w:line="560" w:lineRule="exact"/>
        <w:ind w:firstLine="627" w:firstLineChars="196"/>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从预算单位构成看，兰溪市劳动人事争议仲裁院是兰溪市劳动人事争议仲裁院下属二级预算单位，属于公益一类参公事业单位，单位分别设联合调度中心调解室、综合办公室、立案调解庭、立案审理庭，独立预算单位。</w:t>
      </w:r>
    </w:p>
    <w:p>
      <w:pPr>
        <w:widowControl w:val="0"/>
        <w:overflowPunct/>
        <w:autoSpaceDE/>
        <w:autoSpaceDN/>
        <w:adjustRightInd/>
        <w:spacing w:line="560" w:lineRule="exact"/>
        <w:ind w:firstLine="643" w:firstLineChars="200"/>
        <w:textAlignment w:val="auto"/>
        <w:rPr>
          <w:rStyle w:val="7"/>
          <w:rFonts w:ascii="Times New Roman" w:hAnsi="Times New Roman" w:eastAsia="楷体_GB2312"/>
          <w:bCs w:val="0"/>
          <w:color w:val="000000"/>
          <w:sz w:val="32"/>
          <w:szCs w:val="32"/>
        </w:rPr>
      </w:pPr>
      <w:r>
        <w:rPr>
          <w:rStyle w:val="7"/>
          <w:rFonts w:ascii="Times New Roman" w:hAnsi="Times New Roman" w:eastAsia="楷体_GB2312"/>
          <w:bCs w:val="0"/>
          <w:color w:val="000000"/>
          <w:sz w:val="32"/>
          <w:szCs w:val="32"/>
        </w:rPr>
        <w:t>二、</w:t>
      </w:r>
      <w:r>
        <w:rPr>
          <w:rStyle w:val="7"/>
          <w:rFonts w:hint="eastAsia" w:ascii="Times New Roman" w:hAnsi="Times New Roman" w:eastAsia="楷体_GB2312"/>
          <w:bCs w:val="0"/>
          <w:color w:val="000000"/>
          <w:sz w:val="32"/>
          <w:szCs w:val="32"/>
        </w:rPr>
        <w:t>兰溪市劳动人事争议仲裁院2023</w:t>
      </w:r>
      <w:r>
        <w:rPr>
          <w:rStyle w:val="7"/>
          <w:rFonts w:ascii="Times New Roman" w:hAnsi="Times New Roman" w:eastAsia="楷体_GB2312"/>
          <w:bCs w:val="0"/>
          <w:color w:val="000000"/>
          <w:sz w:val="32"/>
          <w:szCs w:val="32"/>
        </w:rPr>
        <w:t>年单位预算安排情况说明</w:t>
      </w:r>
    </w:p>
    <w:p>
      <w:pPr>
        <w:widowControl w:val="0"/>
        <w:overflowPunct/>
        <w:autoSpaceDE/>
        <w:autoSpaceDN/>
        <w:adjustRightInd/>
        <w:spacing w:line="560" w:lineRule="exact"/>
        <w:ind w:firstLine="643" w:firstLineChars="200"/>
        <w:textAlignment w:val="auto"/>
        <w:rPr>
          <w:rFonts w:ascii="Times New Roman" w:hAnsi="Times New Roman" w:eastAsia="楷体_GB2312"/>
          <w:b/>
          <w:color w:val="000000"/>
          <w:sz w:val="32"/>
          <w:szCs w:val="32"/>
          <w:u w:val="single"/>
        </w:rPr>
      </w:pPr>
      <w:r>
        <w:rPr>
          <w:rStyle w:val="7"/>
          <w:rFonts w:ascii="Times New Roman" w:hAnsi="Times New Roman" w:eastAsia="楷体_GB2312"/>
          <w:bCs w:val="0"/>
          <w:color w:val="000000"/>
          <w:sz w:val="32"/>
          <w:szCs w:val="32"/>
        </w:rPr>
        <w:t xml:space="preserve">  </w:t>
      </w:r>
      <w:r>
        <w:rPr>
          <w:rFonts w:ascii="Times New Roman" w:hAnsi="Times New Roman" w:eastAsia="楷体_GB2312"/>
          <w:b/>
          <w:color w:val="000000"/>
          <w:sz w:val="32"/>
          <w:szCs w:val="32"/>
        </w:rPr>
        <w:t>（一）关于</w:t>
      </w:r>
      <w:r>
        <w:rPr>
          <w:rStyle w:val="7"/>
          <w:rFonts w:hint="eastAsia" w:ascii="Times New Roman" w:hAnsi="Times New Roman" w:eastAsia="楷体_GB2312"/>
          <w:bCs w:val="0"/>
          <w:color w:val="000000"/>
          <w:sz w:val="32"/>
          <w:szCs w:val="32"/>
        </w:rPr>
        <w:t>兰溪市劳动人事争议仲裁院2023</w:t>
      </w:r>
      <w:r>
        <w:rPr>
          <w:rStyle w:val="7"/>
          <w:rFonts w:ascii="Times New Roman" w:hAnsi="Times New Roman" w:eastAsia="楷体_GB2312"/>
          <w:bCs w:val="0"/>
          <w:color w:val="000000"/>
          <w:sz w:val="32"/>
          <w:szCs w:val="32"/>
        </w:rPr>
        <w:t>年收支预算情况的总体说明</w:t>
      </w:r>
    </w:p>
    <w:p>
      <w:pPr>
        <w:spacing w:line="560" w:lineRule="exac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按照</w:t>
      </w:r>
      <w:r>
        <w:rPr>
          <w:rFonts w:hint="eastAsia" w:ascii="仿宋_GB2312" w:hAnsi="仿宋_GB2312" w:eastAsia="仿宋_GB2312" w:cs="仿宋_GB2312"/>
          <w:bCs/>
          <w:sz w:val="32"/>
          <w:szCs w:val="32"/>
        </w:rPr>
        <w:t>综合预算的原则，兰溪市劳动人事争议仲裁院</w:t>
      </w:r>
      <w:r>
        <w:rPr>
          <w:rFonts w:hint="eastAsia" w:ascii="仿宋_GB2312" w:hAnsi="仿宋_GB2312" w:eastAsia="仿宋_GB2312" w:cs="仿宋_GB2312"/>
          <w:bCs/>
          <w:color w:val="000000"/>
          <w:sz w:val="32"/>
          <w:szCs w:val="32"/>
        </w:rPr>
        <w:t>所有收入和支出均纳入部门预算管理。收入包括：一般公共预算拨款收入；支出按功能科目分包括：社会保障和就业支出，卫生健康支出、住房保障支出。兰溪市劳动人事争议仲裁院2023年收支总预算429.2933万元。</w:t>
      </w:r>
    </w:p>
    <w:p>
      <w:pPr>
        <w:widowControl w:val="0"/>
        <w:overflowPunct/>
        <w:autoSpaceDE/>
        <w:autoSpaceDN/>
        <w:adjustRightInd/>
        <w:spacing w:line="560" w:lineRule="exact"/>
        <w:ind w:firstLine="643" w:firstLineChars="200"/>
        <w:textAlignment w:val="auto"/>
        <w:rPr>
          <w:rFonts w:ascii="Times New Roman" w:hAnsi="Times New Roman" w:eastAsia="楷体_GB2312"/>
          <w:b/>
          <w:color w:val="000000"/>
          <w:sz w:val="32"/>
          <w:szCs w:val="32"/>
          <w:u w:val="single"/>
        </w:rPr>
      </w:pPr>
      <w:r>
        <w:rPr>
          <w:rFonts w:ascii="Times New Roman" w:hAnsi="Times New Roman" w:eastAsia="楷体_GB2312"/>
          <w:b/>
          <w:color w:val="000000"/>
          <w:sz w:val="32"/>
          <w:szCs w:val="32"/>
        </w:rPr>
        <w:t>（二）关于</w:t>
      </w:r>
      <w:r>
        <w:rPr>
          <w:rStyle w:val="7"/>
          <w:rFonts w:hint="eastAsia" w:ascii="Times New Roman" w:hAnsi="Times New Roman" w:eastAsia="楷体_GB2312"/>
          <w:bCs w:val="0"/>
          <w:color w:val="000000"/>
          <w:sz w:val="32"/>
          <w:szCs w:val="32"/>
        </w:rPr>
        <w:t>兰溪市劳动人事争议仲裁院</w:t>
      </w:r>
      <w:r>
        <w:rPr>
          <w:rFonts w:hint="eastAsia" w:ascii="Times New Roman" w:hAnsi="Times New Roman" w:eastAsia="楷体_GB2312"/>
          <w:b/>
          <w:color w:val="000000"/>
          <w:sz w:val="32"/>
          <w:szCs w:val="32"/>
        </w:rPr>
        <w:t>2023</w:t>
      </w:r>
      <w:r>
        <w:rPr>
          <w:rFonts w:ascii="Times New Roman" w:hAnsi="Times New Roman" w:eastAsia="楷体_GB2312"/>
          <w:b/>
          <w:color w:val="000000"/>
          <w:sz w:val="32"/>
          <w:szCs w:val="32"/>
        </w:rPr>
        <w:t>年收入预算情况说明</w:t>
      </w:r>
    </w:p>
    <w:p>
      <w:pPr>
        <w:widowControl w:val="0"/>
        <w:overflowPunct/>
        <w:autoSpaceDE/>
        <w:autoSpaceDN/>
        <w:adjustRightInd/>
        <w:spacing w:line="560" w:lineRule="exact"/>
        <w:ind w:firstLine="640" w:firstLineChars="200"/>
        <w:textAlignment w:val="auto"/>
        <w:rPr>
          <w:rFonts w:ascii="Times New Roman" w:hAnsi="Times New Roman" w:eastAsia="仿宋_GB2312"/>
          <w:color w:val="000000"/>
          <w:sz w:val="32"/>
          <w:szCs w:val="32"/>
        </w:rPr>
      </w:pPr>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2023年收入预算429.2933万元，比上年执行数增加210.5994万元，增长96.3%，主要原因是机构改革，原兰溪市劳动监察大队并入兰溪市劳动人事争议仲裁院造成支出增加，其中：一般公共预算拨款收入429.2933万元，占100 %。</w:t>
      </w:r>
    </w:p>
    <w:p>
      <w:pPr>
        <w:widowControl w:val="0"/>
        <w:overflowPunct/>
        <w:autoSpaceDE/>
        <w:autoSpaceDN/>
        <w:adjustRightInd/>
        <w:spacing w:line="560" w:lineRule="exact"/>
        <w:ind w:firstLine="643" w:firstLineChars="200"/>
        <w:textAlignment w:val="auto"/>
        <w:rPr>
          <w:rFonts w:ascii="Times New Roman" w:hAnsi="Times New Roman" w:eastAsia="楷体_GB2312"/>
          <w:b/>
          <w:color w:val="000000"/>
          <w:sz w:val="32"/>
          <w:szCs w:val="32"/>
          <w:u w:val="single"/>
        </w:rPr>
      </w:pPr>
      <w:r>
        <w:rPr>
          <w:rFonts w:ascii="Times New Roman" w:hAnsi="Times New Roman" w:eastAsia="楷体_GB2312"/>
          <w:b/>
          <w:color w:val="000000"/>
          <w:sz w:val="32"/>
          <w:szCs w:val="32"/>
        </w:rPr>
        <w:t>（三）关于</w:t>
      </w:r>
      <w:r>
        <w:rPr>
          <w:rFonts w:hint="eastAsia" w:ascii="Times New Roman" w:hAnsi="Times New Roman" w:eastAsia="楷体_GB2312"/>
          <w:b/>
          <w:color w:val="000000"/>
          <w:sz w:val="32"/>
          <w:szCs w:val="32"/>
        </w:rPr>
        <w:t>兰溪市劳动人事争议仲裁院2023</w:t>
      </w:r>
      <w:r>
        <w:rPr>
          <w:rFonts w:ascii="Times New Roman" w:hAnsi="Times New Roman" w:eastAsia="楷体_GB2312"/>
          <w:b/>
          <w:color w:val="000000"/>
          <w:sz w:val="32"/>
          <w:szCs w:val="32"/>
        </w:rPr>
        <w:t>年支出预算情况说明</w:t>
      </w:r>
    </w:p>
    <w:p>
      <w:pPr>
        <w:spacing w:line="560" w:lineRule="exact"/>
        <w:ind w:firstLine="640" w:firstLineChars="200"/>
        <w:rPr>
          <w:rFonts w:ascii="仿宋_GB2312" w:hAnsi="仿宋_GB2312" w:eastAsia="仿宋_GB2312" w:cs="仿宋_GB2312"/>
          <w:bCs/>
          <w:color w:val="000000"/>
          <w:sz w:val="32"/>
          <w:szCs w:val="32"/>
        </w:rPr>
      </w:pPr>
      <w:bookmarkStart w:id="0" w:name="_GoBack"/>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2023年支出预算429.2933万元，比上年执行数增长</w:t>
      </w:r>
      <w:r>
        <w:rPr>
          <w:rFonts w:hint="eastAsia" w:ascii="仿宋_GB2312" w:hAnsi="仿宋_GB2312" w:eastAsia="仿宋_GB2312" w:cs="仿宋_GB2312"/>
          <w:bCs/>
          <w:color w:val="000000"/>
          <w:sz w:val="32"/>
          <w:szCs w:val="32"/>
          <w:lang w:val="en-US" w:eastAsia="zh-CN"/>
        </w:rPr>
        <w:t>210.5994</w:t>
      </w:r>
      <w:r>
        <w:rPr>
          <w:rFonts w:hint="eastAsia" w:ascii="仿宋_GB2312" w:hAnsi="仿宋_GB2312" w:eastAsia="仿宋_GB2312" w:cs="仿宋_GB2312"/>
          <w:bCs/>
          <w:color w:val="000000"/>
          <w:sz w:val="32"/>
          <w:szCs w:val="32"/>
        </w:rPr>
        <w:t>万元，增长</w:t>
      </w:r>
      <w:r>
        <w:rPr>
          <w:rFonts w:hint="eastAsia" w:ascii="仿宋_GB2312" w:hAnsi="仿宋_GB2312" w:eastAsia="仿宋_GB2312" w:cs="仿宋_GB2312"/>
          <w:bCs/>
          <w:color w:val="000000"/>
          <w:sz w:val="32"/>
          <w:szCs w:val="32"/>
          <w:lang w:val="en-US" w:eastAsia="zh-CN"/>
        </w:rPr>
        <w:t>96.30</w:t>
      </w:r>
      <w:r>
        <w:rPr>
          <w:rFonts w:hint="eastAsia" w:ascii="仿宋_GB2312" w:hAnsi="仿宋_GB2312" w:eastAsia="仿宋_GB2312" w:cs="仿宋_GB2312"/>
          <w:bCs/>
          <w:color w:val="000000"/>
          <w:sz w:val="32"/>
          <w:szCs w:val="32"/>
        </w:rPr>
        <w:t>%，主要是机构改革，原兰溪市劳动监察大队并入兰溪市劳动人事争议仲裁院造成支出增加。</w:t>
      </w:r>
    </w:p>
    <w:bookmarkEnd w:id="0"/>
    <w:p>
      <w:pPr>
        <w:numPr>
          <w:ilvl w:val="0"/>
          <w:numId w:val="1"/>
        </w:numPr>
        <w:spacing w:line="560" w:lineRule="exact"/>
        <w:ind w:firstLine="63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按支出功能分类，包括社会保障和就业支出383.0269万元，卫生健康支出14.7600万元，住房保障支出31.5064万元。</w:t>
      </w:r>
    </w:p>
    <w:p>
      <w:pPr>
        <w:numPr>
          <w:ilvl w:val="0"/>
          <w:numId w:val="1"/>
        </w:numPr>
        <w:spacing w:line="560" w:lineRule="exact"/>
        <w:ind w:firstLine="63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按支出用途分类，包括人员支出359.1853万元，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83.67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日常公用支出36.2680万元，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8.45</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Cs/>
          <w:color w:val="000000"/>
          <w:sz w:val="32"/>
          <w:szCs w:val="32"/>
        </w:rPr>
        <w:t>项目支出33.8400万元，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7.88</w:t>
      </w:r>
      <w:r>
        <w:rPr>
          <w:rFonts w:hint="eastAsia" w:ascii="仿宋_GB2312" w:hAnsi="仿宋_GB2312" w:eastAsia="仿宋_GB2312" w:cs="仿宋_GB2312"/>
          <w:color w:val="000000"/>
          <w:sz w:val="32"/>
          <w:szCs w:val="32"/>
        </w:rPr>
        <w:t>%。</w:t>
      </w:r>
    </w:p>
    <w:p>
      <w:pPr>
        <w:pStyle w:val="2"/>
        <w:rPr>
          <w:rFonts w:hint="default"/>
        </w:rPr>
      </w:pPr>
      <w:r>
        <w:rPr>
          <w:rFonts w:cs="仿宋_GB2312"/>
          <w:sz w:val="32"/>
          <w:szCs w:val="32"/>
        </w:rPr>
        <w:t xml:space="preserve">     结转下年0万元。</w:t>
      </w:r>
    </w:p>
    <w:p>
      <w:pPr>
        <w:spacing w:line="56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（四）关于兰溪市劳动人事争议仲裁院2023年财政拨款收支预算情况的总体说明</w:t>
      </w:r>
    </w:p>
    <w:p>
      <w:pPr>
        <w:spacing w:line="560" w:lineRule="exact"/>
        <w:ind w:firstLine="640"/>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2023年财政拨款收支总预算429.2933万元。包括：一般公共预算拨款收入429.2933万元；支出包括：包括社会保障和就业支出383.0269万元，卫生健康支出14.7600万元，住房保障支出31.5064万元。</w:t>
      </w:r>
    </w:p>
    <w:p>
      <w:pPr>
        <w:spacing w:line="56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（五）关于兰溪市劳动人事争议仲裁院2023年一般公共预算当年拨款情况说明</w:t>
      </w:r>
    </w:p>
    <w:p>
      <w:pPr>
        <w:spacing w:line="56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60" w:lineRule="exact"/>
        <w:ind w:firstLine="642"/>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兰溪市劳动人事争议仲裁院2023年一般公共预算当年拨款429.2933万元，比上年执行数增加210.5994万元，主要原因是机构改革，原兰溪市劳动监察大队并入兰溪市劳动人事争议仲裁院造成支出增加。</w:t>
      </w:r>
    </w:p>
    <w:p>
      <w:pPr>
        <w:spacing w:line="56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60" w:lineRule="exac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社会保障和就业支出383.0269万元，占89.22%；卫生健康支出14.7600万元，占3.44%；住房保障支出31.5064万元，占7.34%。</w:t>
      </w:r>
    </w:p>
    <w:p>
      <w:pPr>
        <w:spacing w:line="560" w:lineRule="exact"/>
        <w:rPr>
          <w:rFonts w:ascii="仿宋_GB2312" w:hAnsi="仿宋_GB2312" w:eastAsia="仿宋_GB2312" w:cs="仿宋_GB2312"/>
          <w:b/>
          <w:color w:val="000000"/>
          <w:sz w:val="32"/>
          <w:szCs w:val="32"/>
          <w:u w:val="single"/>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rPr>
        <w:t>3.一般公共预算当年拨款具体使用情况</w:t>
      </w:r>
    </w:p>
    <w:p>
      <w:pPr>
        <w:spacing w:line="560" w:lineRule="exact"/>
        <w:ind w:firstLine="64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（1）社会保障和就业支出（类）人力资源和社会保障管理事务（款）劳动关系和维权（项）335.4349万元，主要用于反映劳动关系和维权事务支出、仲裁机构实体化建设、办案经费、调解仲裁能力建设等支出。</w:t>
      </w:r>
    </w:p>
    <w:p>
      <w:pPr>
        <w:overflowPunct/>
        <w:autoSpaceDE/>
        <w:autoSpaceDN/>
        <w:adjustRightInd/>
        <w:spacing w:line="560" w:lineRule="exact"/>
        <w:ind w:firstLine="640" w:firstLineChars="200"/>
        <w:jc w:val="left"/>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2</w:t>
      </w:r>
      <w:r>
        <w:rPr>
          <w:rFonts w:ascii="Times New Roman" w:hAnsi="Times New Roman" w:eastAsia="仿宋_GB2312"/>
          <w:bCs/>
          <w:color w:val="000000"/>
          <w:sz w:val="32"/>
          <w:szCs w:val="32"/>
        </w:rPr>
        <w:t>）社会保障和就业支出（类）行政事业单位养老支出（款）</w:t>
      </w:r>
      <w:r>
        <w:rPr>
          <w:rFonts w:hint="eastAsia" w:ascii="Times New Roman" w:hAnsi="Times New Roman" w:eastAsia="仿宋_GB2312"/>
          <w:bCs/>
          <w:color w:val="000000"/>
          <w:sz w:val="32"/>
          <w:szCs w:val="32"/>
        </w:rPr>
        <w:t>事业</w:t>
      </w:r>
      <w:r>
        <w:rPr>
          <w:rFonts w:ascii="Times New Roman" w:hAnsi="Times New Roman" w:eastAsia="仿宋_GB2312"/>
          <w:bCs/>
          <w:color w:val="000000"/>
          <w:sz w:val="32"/>
          <w:szCs w:val="32"/>
        </w:rPr>
        <w:t>单位离退休（项）0.</w:t>
      </w:r>
      <w:r>
        <w:rPr>
          <w:rFonts w:hint="eastAsia" w:ascii="Times New Roman" w:hAnsi="Times New Roman" w:eastAsia="仿宋_GB2312"/>
          <w:bCs/>
          <w:color w:val="000000"/>
          <w:sz w:val="32"/>
          <w:szCs w:val="32"/>
        </w:rPr>
        <w:t>3600</w:t>
      </w:r>
      <w:r>
        <w:rPr>
          <w:rFonts w:ascii="Times New Roman" w:hAnsi="Times New Roman" w:eastAsia="仿宋_GB2312"/>
          <w:bCs/>
          <w:color w:val="000000"/>
          <w:sz w:val="32"/>
          <w:szCs w:val="32"/>
        </w:rPr>
        <w:t>万元，主要用于本单位</w:t>
      </w:r>
      <w:r>
        <w:rPr>
          <w:rFonts w:hint="eastAsia" w:ascii="Times New Roman" w:hAnsi="Times New Roman" w:eastAsia="仿宋_GB2312"/>
          <w:bCs/>
          <w:color w:val="000000"/>
          <w:sz w:val="32"/>
          <w:szCs w:val="32"/>
        </w:rPr>
        <w:t>3名</w:t>
      </w:r>
      <w:r>
        <w:rPr>
          <w:rFonts w:ascii="Times New Roman" w:hAnsi="Times New Roman" w:eastAsia="仿宋_GB2312"/>
          <w:bCs/>
          <w:color w:val="000000"/>
          <w:sz w:val="32"/>
          <w:szCs w:val="32"/>
        </w:rPr>
        <w:t>事业身份退休人员活动经费的支出。</w:t>
      </w:r>
    </w:p>
    <w:p>
      <w:pPr>
        <w:pStyle w:val="2"/>
        <w:rPr>
          <w:rFonts w:hint="default" w:cs="仿宋_GB2312"/>
          <w:bCs/>
          <w:sz w:val="32"/>
          <w:szCs w:val="32"/>
        </w:rPr>
      </w:pPr>
    </w:p>
    <w:p>
      <w:pPr>
        <w:pStyle w:val="2"/>
        <w:rPr>
          <w:rFonts w:hint="default" w:cs="仿宋_GB2312"/>
          <w:bCs/>
          <w:sz w:val="32"/>
          <w:szCs w:val="32"/>
        </w:rPr>
      </w:pPr>
    </w:p>
    <w:p>
      <w:pPr>
        <w:pStyle w:val="2"/>
        <w:rPr>
          <w:rFonts w:hint="default" w:cs="仿宋_GB2312"/>
          <w:bCs/>
          <w:sz w:val="32"/>
          <w:szCs w:val="32"/>
        </w:rPr>
      </w:pPr>
    </w:p>
    <w:p>
      <w:pPr>
        <w:overflowPunct/>
        <w:autoSpaceDE/>
        <w:autoSpaceDN/>
        <w:adjustRightInd/>
        <w:spacing w:line="560" w:lineRule="exact"/>
        <w:ind w:firstLine="640"/>
        <w:jc w:val="left"/>
        <w:textAlignment w:val="auto"/>
        <w:rPr>
          <w:rFonts w:ascii="仿宋_GB2312" w:hAnsi="仿宋_GB2312" w:eastAsia="仿宋_GB2312" w:cs="仿宋_GB2312"/>
          <w:bCs/>
          <w:color w:val="000000"/>
          <w:sz w:val="32"/>
          <w:szCs w:val="32"/>
        </w:rPr>
      </w:pPr>
      <w:r>
        <w:rPr>
          <w:rFonts w:hint="eastAsia" w:cs="仿宋_GB2312"/>
          <w:bCs/>
          <w:color w:val="000000"/>
          <w:sz w:val="32"/>
          <w:szCs w:val="32"/>
        </w:rPr>
        <w:tab/>
      </w:r>
      <w:r>
        <w:rPr>
          <w:rFonts w:hint="eastAsia" w:ascii="仿宋_GB2312" w:hAnsi="仿宋_GB2312" w:eastAsia="仿宋_GB2312" w:cs="仿宋_GB2312"/>
          <w:bCs/>
          <w:color w:val="000000"/>
          <w:sz w:val="32"/>
          <w:szCs w:val="32"/>
        </w:rPr>
        <w:t>（3）社会保障和就业支出（类）行政事业单位养老支出（款）机关事业单位基本养老保险缴费支出（项）31.4880万元，</w:t>
      </w:r>
      <w:r>
        <w:rPr>
          <w:rFonts w:hint="eastAsia" w:ascii="Times New Roman" w:hAnsi="Times New Roman" w:eastAsia="仿宋_GB2312"/>
          <w:bCs/>
          <w:color w:val="000000"/>
          <w:sz w:val="32"/>
          <w:szCs w:val="32"/>
        </w:rPr>
        <w:t>主要是用于</w:t>
      </w:r>
      <w:r>
        <w:rPr>
          <w:rFonts w:ascii="Times New Roman" w:hAnsi="Times New Roman" w:eastAsia="仿宋_GB2312"/>
          <w:bCs/>
          <w:color w:val="000000"/>
          <w:sz w:val="32"/>
          <w:szCs w:val="32"/>
        </w:rPr>
        <w:t>参照公务员管理事业单位人员</w:t>
      </w:r>
      <w:r>
        <w:rPr>
          <w:rFonts w:hint="eastAsia" w:ascii="Times New Roman" w:hAnsi="Times New Roman" w:eastAsia="仿宋_GB2312"/>
          <w:bCs/>
          <w:color w:val="000000"/>
          <w:sz w:val="32"/>
          <w:szCs w:val="32"/>
        </w:rPr>
        <w:t>实施养老保险制度由单位缴纳的基本养老保险费支出</w:t>
      </w:r>
      <w:r>
        <w:rPr>
          <w:rFonts w:hint="eastAsia" w:ascii="仿宋_GB2312" w:hAnsi="仿宋_GB2312" w:eastAsia="仿宋_GB2312" w:cs="仿宋_GB2312"/>
          <w:bCs/>
          <w:color w:val="000000"/>
          <w:sz w:val="32"/>
          <w:szCs w:val="32"/>
        </w:rPr>
        <w:t>。</w:t>
      </w:r>
    </w:p>
    <w:p>
      <w:pPr>
        <w:overflowPunct/>
        <w:autoSpaceDE/>
        <w:autoSpaceDN/>
        <w:adjustRightInd/>
        <w:spacing w:line="560" w:lineRule="exact"/>
        <w:ind w:firstLine="640"/>
        <w:jc w:val="left"/>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（4）社会保障和就业支出（类）行政事业单位养老支出（款）机关事业单位职业年金缴费支出（项）15.7440万元，</w:t>
      </w:r>
      <w:r>
        <w:rPr>
          <w:rFonts w:hint="eastAsia" w:ascii="Times New Roman" w:hAnsi="Times New Roman" w:eastAsia="仿宋_GB2312"/>
          <w:bCs/>
          <w:color w:val="000000"/>
          <w:sz w:val="32"/>
          <w:szCs w:val="32"/>
        </w:rPr>
        <w:t>主要是用于</w:t>
      </w:r>
      <w:r>
        <w:rPr>
          <w:rFonts w:ascii="Times New Roman" w:hAnsi="Times New Roman" w:eastAsia="仿宋_GB2312"/>
          <w:bCs/>
          <w:color w:val="000000"/>
          <w:sz w:val="32"/>
          <w:szCs w:val="32"/>
        </w:rPr>
        <w:t>参照公务员管理事业单位人员</w:t>
      </w:r>
      <w:r>
        <w:rPr>
          <w:rFonts w:hint="eastAsia" w:ascii="Times New Roman" w:hAnsi="Times New Roman" w:eastAsia="仿宋_GB2312"/>
          <w:bCs/>
          <w:color w:val="000000"/>
          <w:sz w:val="32"/>
          <w:szCs w:val="32"/>
        </w:rPr>
        <w:t>实施养老保险制度由单位缴纳的职业年金支出</w:t>
      </w:r>
      <w:r>
        <w:rPr>
          <w:rFonts w:hint="eastAsia" w:ascii="仿宋_GB2312" w:hAnsi="仿宋_GB2312" w:eastAsia="仿宋_GB2312" w:cs="仿宋_GB2312"/>
          <w:bCs/>
          <w:color w:val="000000"/>
          <w:sz w:val="32"/>
          <w:szCs w:val="32"/>
        </w:rPr>
        <w:t>。</w:t>
      </w:r>
    </w:p>
    <w:p>
      <w:pPr>
        <w:spacing w:line="560" w:lineRule="exact"/>
        <w:ind w:firstLine="64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（5）卫生健康支出（类）行政事业单位医疗（款）事业单位医疗（项）14.7600万元，主要用于反映财政部门安排</w:t>
      </w:r>
      <w:r>
        <w:rPr>
          <w:rFonts w:ascii="Times New Roman" w:hAnsi="Times New Roman" w:eastAsia="仿宋_GB2312"/>
          <w:bCs/>
          <w:color w:val="000000"/>
          <w:sz w:val="32"/>
          <w:szCs w:val="32"/>
        </w:rPr>
        <w:t>参照公务员管理事业单位</w:t>
      </w:r>
      <w:r>
        <w:rPr>
          <w:rFonts w:hint="eastAsia" w:ascii="仿宋_GB2312" w:hAnsi="仿宋_GB2312" w:eastAsia="仿宋_GB2312" w:cs="仿宋_GB2312"/>
          <w:bCs/>
          <w:color w:val="000000"/>
          <w:sz w:val="32"/>
          <w:szCs w:val="32"/>
        </w:rPr>
        <w:t>基本医疗保险缴费经费。</w:t>
      </w:r>
    </w:p>
    <w:p>
      <w:pPr>
        <w:pStyle w:val="2"/>
        <w:tabs>
          <w:tab w:val="left" w:pos="669"/>
        </w:tabs>
        <w:rPr>
          <w:rFonts w:hint="default"/>
        </w:rPr>
      </w:pPr>
      <w:r>
        <w:rPr>
          <w:rFonts w:cs="仿宋_GB2312"/>
          <w:bCs/>
          <w:sz w:val="32"/>
          <w:szCs w:val="32"/>
        </w:rPr>
        <w:tab/>
      </w:r>
      <w:r>
        <w:rPr>
          <w:rFonts w:cs="仿宋_GB2312"/>
          <w:bCs/>
          <w:sz w:val="32"/>
          <w:szCs w:val="32"/>
        </w:rPr>
        <w:t>（6）住房保障支出（类）住房改革支出（款）住房公积金（项）31.5064万元，</w:t>
      </w:r>
      <w:r>
        <w:rPr>
          <w:rFonts w:ascii="Times New Roman" w:hAnsi="Times New Roman"/>
          <w:bCs/>
          <w:sz w:val="32"/>
          <w:szCs w:val="32"/>
        </w:rPr>
        <w:t>主要用于</w:t>
      </w:r>
      <w:r>
        <w:rPr>
          <w:rFonts w:hint="default" w:ascii="Times New Roman" w:hAnsi="Times New Roman"/>
          <w:bCs/>
          <w:sz w:val="32"/>
          <w:szCs w:val="32"/>
        </w:rPr>
        <w:t>参照公务员管理事业单位</w:t>
      </w:r>
      <w:r>
        <w:rPr>
          <w:rFonts w:ascii="Times New Roman" w:hAnsi="Times New Roman"/>
          <w:bCs/>
          <w:sz w:val="32"/>
          <w:szCs w:val="32"/>
        </w:rPr>
        <w:t>按人力资源和社会保障部、财政部规定的基本工资和津贴补贴以及规定比例为职工缴纳的住房公积金。</w:t>
      </w:r>
    </w:p>
    <w:p>
      <w:pPr>
        <w:overflowPunct/>
        <w:autoSpaceDE/>
        <w:autoSpaceDN/>
        <w:adjustRightInd/>
        <w:spacing w:line="560" w:lineRule="exact"/>
        <w:ind w:firstLine="643" w:firstLineChars="200"/>
        <w:textAlignment w:val="auto"/>
        <w:rPr>
          <w:rFonts w:ascii="Times New Roman" w:hAnsi="Times New Roman" w:eastAsia="楷体_GB2312"/>
          <w:b/>
          <w:color w:val="000000"/>
          <w:sz w:val="32"/>
          <w:szCs w:val="32"/>
        </w:rPr>
      </w:pPr>
      <w:r>
        <w:rPr>
          <w:rFonts w:ascii="Times New Roman" w:hAnsi="Times New Roman" w:eastAsia="楷体_GB2312"/>
          <w:b/>
          <w:color w:val="000000"/>
          <w:sz w:val="32"/>
          <w:szCs w:val="32"/>
        </w:rPr>
        <w:t>（六）关于</w:t>
      </w:r>
      <w:r>
        <w:rPr>
          <w:rFonts w:hint="eastAsia" w:ascii="Times New Roman" w:hAnsi="Times New Roman" w:eastAsia="楷体_GB2312"/>
          <w:b/>
          <w:color w:val="000000"/>
          <w:sz w:val="32"/>
          <w:szCs w:val="32"/>
        </w:rPr>
        <w:t>兰溪市劳动人事争议仲裁院2023</w:t>
      </w:r>
      <w:r>
        <w:rPr>
          <w:rFonts w:ascii="Times New Roman" w:hAnsi="Times New Roman" w:eastAsia="楷体_GB2312"/>
          <w:b/>
          <w:color w:val="000000"/>
          <w:sz w:val="32"/>
          <w:szCs w:val="32"/>
        </w:rPr>
        <w:t>年一般公共预算基本支出情况说明</w:t>
      </w:r>
    </w:p>
    <w:p>
      <w:pPr>
        <w:spacing w:line="560" w:lineRule="exact"/>
        <w:ind w:firstLine="642"/>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兰溪市劳动人事争议仲裁院2023年一般公共预算基本支出395.4533</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color w:val="000000"/>
          <w:sz w:val="32"/>
          <w:szCs w:val="32"/>
        </w:rPr>
        <w:t>，其中：</w:t>
      </w:r>
    </w:p>
    <w:p>
      <w:pPr>
        <w:spacing w:line="560" w:lineRule="exact"/>
        <w:ind w:firstLine="642"/>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员经费359.1853万元，主要包括：基本工资、津贴补贴、奖金、伙食补助费、机关事业单位基本养老保险缴费、职业年金缴费、职工基本医疗保险缴费、其他社会保障缴费、住房公积金、其他工资福利支出、其他商品和服务支出；</w:t>
      </w:r>
    </w:p>
    <w:p>
      <w:pPr>
        <w:spacing w:line="560" w:lineRule="exact"/>
        <w:ind w:firstLine="642"/>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公用经费36.268万元，主要包括：办公费、邮电费、差旅费、公务接待费、工会经费、福利费、其他交通费用、其他商品和服务支出。</w:t>
      </w:r>
    </w:p>
    <w:p>
      <w:pPr>
        <w:overflowPunct/>
        <w:autoSpaceDE/>
        <w:autoSpaceDN/>
        <w:adjustRightInd/>
        <w:spacing w:line="560" w:lineRule="exact"/>
        <w:ind w:firstLine="642"/>
        <w:textAlignment w:val="auto"/>
        <w:rPr>
          <w:rFonts w:ascii="Times New Roman" w:hAnsi="Times New Roman" w:eastAsia="楷体_GB2312"/>
          <w:b/>
          <w:color w:val="000000"/>
          <w:sz w:val="32"/>
          <w:szCs w:val="32"/>
        </w:rPr>
      </w:pPr>
      <w:r>
        <w:rPr>
          <w:rFonts w:ascii="Times New Roman" w:hAnsi="Times New Roman" w:eastAsia="楷体_GB2312"/>
          <w:b/>
          <w:color w:val="000000"/>
          <w:sz w:val="32"/>
          <w:szCs w:val="32"/>
        </w:rPr>
        <w:t>（七）关于</w:t>
      </w:r>
      <w:r>
        <w:rPr>
          <w:rFonts w:hint="eastAsia" w:ascii="Times New Roman" w:hAnsi="Times New Roman" w:eastAsia="楷体_GB2312"/>
          <w:b/>
          <w:color w:val="000000"/>
          <w:sz w:val="32"/>
          <w:szCs w:val="32"/>
        </w:rPr>
        <w:t>兰溪市劳动人事争议仲裁院2023</w:t>
      </w:r>
      <w:r>
        <w:rPr>
          <w:rFonts w:ascii="Times New Roman" w:hAnsi="Times New Roman" w:eastAsia="楷体_GB2312"/>
          <w:b/>
          <w:color w:val="000000"/>
          <w:sz w:val="32"/>
          <w:szCs w:val="32"/>
        </w:rPr>
        <w:t>年政府性基金预算支出情况说明</w:t>
      </w:r>
    </w:p>
    <w:p>
      <w:pPr>
        <w:overflowPunct/>
        <w:autoSpaceDE/>
        <w:autoSpaceDN/>
        <w:adjustRightInd/>
        <w:spacing w:line="560" w:lineRule="exact"/>
        <w:ind w:firstLine="642"/>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兰溪市劳动人事争议仲裁院2023</w:t>
      </w:r>
      <w:r>
        <w:rPr>
          <w:rFonts w:ascii="Times New Roman" w:hAnsi="Times New Roman" w:eastAsia="仿宋_GB2312"/>
          <w:color w:val="000000"/>
          <w:sz w:val="32"/>
          <w:szCs w:val="32"/>
        </w:rPr>
        <w:t>年没有使用政府性基金预算拨款安排的支出。</w:t>
      </w:r>
    </w:p>
    <w:p>
      <w:pPr>
        <w:overflowPunct/>
        <w:autoSpaceDE/>
        <w:autoSpaceDN/>
        <w:adjustRightInd/>
        <w:spacing w:line="560" w:lineRule="exact"/>
        <w:ind w:firstLine="642"/>
        <w:textAlignment w:val="auto"/>
        <w:rPr>
          <w:rFonts w:ascii="Times New Roman" w:hAnsi="Times New Roman" w:eastAsia="楷体_GB2312"/>
          <w:bCs/>
          <w:color w:val="000000"/>
          <w:sz w:val="32"/>
          <w:szCs w:val="32"/>
        </w:rPr>
      </w:pPr>
      <w:r>
        <w:rPr>
          <w:rFonts w:ascii="Times New Roman" w:hAnsi="Times New Roman" w:eastAsia="楷体_GB2312"/>
          <w:b/>
          <w:color w:val="000000"/>
          <w:sz w:val="32"/>
          <w:szCs w:val="32"/>
        </w:rPr>
        <w:t>（八）关于</w:t>
      </w:r>
      <w:r>
        <w:rPr>
          <w:rFonts w:hint="eastAsia" w:ascii="Times New Roman" w:hAnsi="Times New Roman" w:eastAsia="楷体_GB2312"/>
          <w:b/>
          <w:color w:val="000000"/>
          <w:sz w:val="32"/>
          <w:szCs w:val="32"/>
        </w:rPr>
        <w:t>兰溪市劳动人事争议仲裁院2023</w:t>
      </w:r>
      <w:r>
        <w:rPr>
          <w:rStyle w:val="7"/>
          <w:rFonts w:hint="eastAsia" w:ascii="Times New Roman" w:hAnsi="Times New Roman" w:eastAsia="楷体_GB2312"/>
          <w:bCs w:val="0"/>
          <w:color w:val="000000"/>
          <w:sz w:val="32"/>
          <w:szCs w:val="32"/>
        </w:rPr>
        <w:t>（本级）</w:t>
      </w:r>
      <w:r>
        <w:rPr>
          <w:rFonts w:ascii="Times New Roman" w:hAnsi="Times New Roman" w:eastAsia="楷体_GB2312"/>
          <w:b/>
          <w:color w:val="000000"/>
          <w:sz w:val="32"/>
          <w:szCs w:val="32"/>
        </w:rPr>
        <w:t>年国有资本经营预算支出情况说明</w:t>
      </w:r>
    </w:p>
    <w:p>
      <w:pPr>
        <w:overflowPunct/>
        <w:autoSpaceDE/>
        <w:autoSpaceDN/>
        <w:adjustRightInd/>
        <w:spacing w:line="520" w:lineRule="exac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兰溪市劳动人事争议仲裁院2023</w:t>
      </w:r>
      <w:r>
        <w:rPr>
          <w:rFonts w:ascii="Times New Roman" w:hAnsi="Times New Roman" w:eastAsia="仿宋_GB2312"/>
          <w:color w:val="000000"/>
          <w:sz w:val="32"/>
          <w:szCs w:val="32"/>
        </w:rPr>
        <w:t>年没有使用国有资本经营预算拨款安排的支出。</w:t>
      </w:r>
    </w:p>
    <w:p>
      <w:pPr>
        <w:overflowPunct/>
        <w:autoSpaceDE/>
        <w:autoSpaceDN/>
        <w:adjustRightInd/>
        <w:spacing w:line="560" w:lineRule="exact"/>
        <w:ind w:firstLine="630" w:firstLineChars="196"/>
        <w:textAlignment w:val="auto"/>
        <w:rPr>
          <w:rFonts w:ascii="Times New Roman" w:hAnsi="Times New Roman" w:eastAsia="楷体_GB2312"/>
          <w:b/>
          <w:color w:val="000000"/>
          <w:sz w:val="32"/>
          <w:szCs w:val="32"/>
          <w:u w:val="single"/>
        </w:rPr>
      </w:pPr>
      <w:r>
        <w:rPr>
          <w:rFonts w:ascii="Times New Roman" w:hAnsi="Times New Roman" w:eastAsia="楷体_GB2312"/>
          <w:b/>
          <w:color w:val="000000"/>
          <w:sz w:val="32"/>
          <w:szCs w:val="32"/>
        </w:rPr>
        <w:t>（九）关于</w:t>
      </w:r>
      <w:r>
        <w:rPr>
          <w:rFonts w:hint="eastAsia" w:ascii="Times New Roman" w:hAnsi="Times New Roman" w:eastAsia="楷体_GB2312"/>
          <w:b/>
          <w:color w:val="000000"/>
          <w:sz w:val="32"/>
          <w:szCs w:val="32"/>
        </w:rPr>
        <w:t>兰溪市劳动人事争议仲裁院2023</w:t>
      </w:r>
      <w:r>
        <w:rPr>
          <w:rFonts w:ascii="Times New Roman" w:hAnsi="Times New Roman" w:eastAsia="楷体_GB2312"/>
          <w:b/>
          <w:color w:val="000000"/>
          <w:sz w:val="32"/>
          <w:szCs w:val="32"/>
        </w:rPr>
        <w:t>年</w:t>
      </w:r>
      <w:r>
        <w:rPr>
          <w:rFonts w:ascii="Times New Roman" w:hAnsi="Times New Roman" w:eastAsia="楷体_GB2312"/>
          <w:b/>
          <w:sz w:val="32"/>
          <w:szCs w:val="32"/>
        </w:rPr>
        <w:t>一般公共预算</w:t>
      </w:r>
      <w:r>
        <w:rPr>
          <w:rFonts w:ascii="Times New Roman" w:hAnsi="Times New Roman" w:eastAsia="楷体_GB2312"/>
          <w:b/>
          <w:color w:val="000000"/>
          <w:sz w:val="32"/>
          <w:szCs w:val="32"/>
        </w:rPr>
        <w:t>“三公”经费预算情况说明</w:t>
      </w:r>
    </w:p>
    <w:p>
      <w:pPr>
        <w:pStyle w:val="10"/>
        <w:spacing w:line="560" w:lineRule="exact"/>
        <w:ind w:firstLine="640" w:firstLineChars="200"/>
        <w:rPr>
          <w:rFonts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sz w:val="32"/>
          <w:szCs w:val="32"/>
        </w:rPr>
        <w:t>兰溪市劳动人事争议仲裁院</w:t>
      </w:r>
      <w:r>
        <w:rPr>
          <w:rFonts w:hint="eastAsia" w:ascii="仿宋_GB2312" w:hAnsi="仿宋_GB2312" w:eastAsia="仿宋_GB2312" w:cs="仿宋_GB2312"/>
          <w:bCs/>
          <w:color w:val="000000"/>
          <w:kern w:val="2"/>
          <w:sz w:val="32"/>
          <w:szCs w:val="32"/>
        </w:rPr>
        <w:t>2023 年“三公”经费预算数为</w:t>
      </w:r>
      <w:r>
        <w:rPr>
          <w:rFonts w:hint="eastAsia" w:ascii="仿宋_GB2312" w:hAnsi="仿宋_GB2312" w:eastAsia="仿宋_GB2312" w:cs="仿宋_GB2312"/>
          <w:bCs/>
          <w:color w:val="000000"/>
          <w:sz w:val="32"/>
          <w:szCs w:val="32"/>
        </w:rPr>
        <w:t>1.20</w:t>
      </w:r>
      <w:r>
        <w:rPr>
          <w:rFonts w:hint="eastAsia" w:ascii="仿宋_GB2312" w:hAnsi="仿宋_GB2312" w:eastAsia="仿宋_GB2312" w:cs="仿宋_GB2312"/>
          <w:bCs/>
          <w:color w:val="000000"/>
          <w:kern w:val="2"/>
          <w:sz w:val="32"/>
          <w:szCs w:val="32"/>
        </w:rPr>
        <w:t>万元，</w:t>
      </w:r>
      <w:r>
        <w:rPr>
          <w:rFonts w:ascii="Times New Roman" w:hAnsi="Times New Roman" w:eastAsia="仿宋_GB2312"/>
          <w:bCs/>
          <w:color w:val="000000"/>
          <w:kern w:val="2"/>
          <w:sz w:val="32"/>
          <w:szCs w:val="32"/>
        </w:rPr>
        <w:t>比202</w:t>
      </w:r>
      <w:r>
        <w:rPr>
          <w:rFonts w:hint="eastAsia" w:ascii="Times New Roman" w:hAnsi="Times New Roman" w:eastAsia="仿宋_GB2312"/>
          <w:bCs/>
          <w:color w:val="000000"/>
          <w:kern w:val="2"/>
          <w:sz w:val="32"/>
          <w:szCs w:val="32"/>
        </w:rPr>
        <w:t>2</w:t>
      </w:r>
      <w:r>
        <w:rPr>
          <w:rFonts w:ascii="Times New Roman" w:hAnsi="Times New Roman" w:eastAsia="仿宋_GB2312"/>
          <w:bCs/>
          <w:color w:val="000000"/>
          <w:kern w:val="2"/>
          <w:sz w:val="32"/>
          <w:szCs w:val="32"/>
        </w:rPr>
        <w:t>年执行数增加</w:t>
      </w:r>
      <w:r>
        <w:rPr>
          <w:rFonts w:hint="eastAsia" w:ascii="Times New Roman" w:hAnsi="Times New Roman" w:eastAsia="仿宋_GB2312"/>
          <w:bCs/>
          <w:color w:val="000000"/>
          <w:sz w:val="32"/>
          <w:szCs w:val="32"/>
        </w:rPr>
        <w:t>0.864</w:t>
      </w:r>
      <w:r>
        <w:rPr>
          <w:rFonts w:ascii="Times New Roman" w:hAnsi="Times New Roman" w:eastAsia="仿宋_GB2312"/>
          <w:bCs/>
          <w:color w:val="000000"/>
          <w:kern w:val="2"/>
          <w:sz w:val="32"/>
          <w:szCs w:val="32"/>
        </w:rPr>
        <w:t>万元，增长</w:t>
      </w:r>
      <w:r>
        <w:rPr>
          <w:rFonts w:hint="eastAsia" w:ascii="Times New Roman" w:hAnsi="Times New Roman" w:eastAsia="仿宋_GB2312"/>
          <w:bCs/>
          <w:color w:val="000000"/>
          <w:sz w:val="32"/>
          <w:szCs w:val="32"/>
        </w:rPr>
        <w:t>257.46</w:t>
      </w:r>
      <w:r>
        <w:rPr>
          <w:rFonts w:ascii="Times New Roman" w:hAnsi="Times New Roman" w:eastAsia="仿宋_GB2312"/>
          <w:bCs/>
          <w:color w:val="000000"/>
          <w:kern w:val="2"/>
          <w:sz w:val="32"/>
          <w:szCs w:val="32"/>
        </w:rPr>
        <w:t>%，</w:t>
      </w:r>
      <w:r>
        <w:rPr>
          <w:rFonts w:hint="eastAsia" w:ascii="仿宋_GB2312" w:hAnsi="仿宋_GB2312" w:eastAsia="仿宋_GB2312" w:cs="仿宋_GB2312"/>
          <w:bCs/>
          <w:color w:val="000000"/>
          <w:kern w:val="2"/>
          <w:sz w:val="32"/>
          <w:szCs w:val="32"/>
        </w:rPr>
        <w:t>具体如下：</w:t>
      </w:r>
    </w:p>
    <w:p>
      <w:pPr>
        <w:pStyle w:val="10"/>
        <w:spacing w:line="560" w:lineRule="exact"/>
        <w:ind w:firstLine="640" w:firstLineChars="200"/>
        <w:rPr>
          <w:rFonts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1.因公出国（境）费用：</w:t>
      </w:r>
      <w:r>
        <w:rPr>
          <w:rFonts w:hint="eastAsia" w:ascii="仿宋_GB2312" w:hAnsi="仿宋_GB2312" w:eastAsia="仿宋_GB2312" w:cs="仿宋_GB2312"/>
          <w:bCs/>
          <w:sz w:val="32"/>
          <w:szCs w:val="32"/>
        </w:rPr>
        <w:t>根据外事办安排的因公出国计划和实际工作需要，2023年安排因公出国（境）费用预算</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万元，比上年执行数增长</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%。主要用于预算单位人员的</w:t>
      </w:r>
      <w:r>
        <w:rPr>
          <w:rFonts w:hint="eastAsia" w:ascii="仿宋_GB2312" w:hAnsi="仿宋_GB2312" w:eastAsia="仿宋_GB2312" w:cs="仿宋_GB2312"/>
          <w:sz w:val="32"/>
          <w:szCs w:val="32"/>
        </w:rPr>
        <w:t>公务出国（境）的国际旅费、国外城市间交通费、住宿费、伙食费、培训费、公杂费等支出，不含教学科研人员学术交流</w:t>
      </w:r>
      <w:r>
        <w:rPr>
          <w:rFonts w:hint="eastAsia" w:ascii="仿宋_GB2312" w:hAnsi="仿宋_GB2312" w:eastAsia="仿宋_GB2312" w:cs="仿宋_GB2312"/>
          <w:bCs/>
          <w:sz w:val="32"/>
          <w:szCs w:val="32"/>
        </w:rPr>
        <w:t>公务出国（境）的国际旅费、国外城市间交通费、住宿费、伙食费、培训费、公杂费等支出。变动主要原因是无预算安排。</w:t>
      </w:r>
    </w:p>
    <w:p>
      <w:pPr>
        <w:pStyle w:val="10"/>
        <w:overflowPunct/>
        <w:autoSpaceDE/>
        <w:autoSpaceDN/>
        <w:adjustRightInd/>
        <w:spacing w:line="560" w:lineRule="exact"/>
        <w:ind w:firstLine="640" w:firstLineChars="200"/>
        <w:textAlignment w:val="auto"/>
        <w:rPr>
          <w:rFonts w:ascii="Times New Roman" w:hAnsi="Times New Roman" w:eastAsia="仿宋_GB2312"/>
          <w:bCs/>
          <w:sz w:val="32"/>
          <w:szCs w:val="32"/>
        </w:rPr>
      </w:pPr>
      <w:r>
        <w:rPr>
          <w:rFonts w:hint="eastAsia" w:ascii="仿宋_GB2312" w:hAnsi="仿宋_GB2312" w:eastAsia="仿宋_GB2312" w:cs="仿宋_GB2312"/>
          <w:bCs/>
          <w:sz w:val="32"/>
          <w:szCs w:val="32"/>
        </w:rPr>
        <w:t>2.公务接待费：2023年安排公务接待费预算1.2万元，比上年执行数增长257.46%。主要用于接待</w:t>
      </w:r>
      <w:r>
        <w:rPr>
          <w:rFonts w:ascii="仿宋_GB2312" w:hAnsi="宋体" w:eastAsia="仿宋_GB2312" w:cs="仿宋_GB2312"/>
          <w:sz w:val="32"/>
          <w:szCs w:val="32"/>
          <w:shd w:val="clear" w:color="auto" w:fill="FFFFFF"/>
        </w:rPr>
        <w:t>上级及其他各县（市）单位来</w:t>
      </w:r>
      <w:r>
        <w:rPr>
          <w:rFonts w:hint="eastAsia" w:ascii="仿宋_GB2312" w:hAnsi="宋体" w:eastAsia="仿宋_GB2312" w:cs="仿宋_GB2312"/>
          <w:sz w:val="32"/>
          <w:szCs w:val="32"/>
          <w:shd w:val="clear" w:color="auto" w:fill="FFFFFF"/>
        </w:rPr>
        <w:t>兰</w:t>
      </w:r>
      <w:r>
        <w:rPr>
          <w:rFonts w:ascii="仿宋_GB2312" w:hAnsi="宋体" w:eastAsia="仿宋_GB2312" w:cs="仿宋_GB2312"/>
          <w:sz w:val="32"/>
          <w:szCs w:val="32"/>
          <w:shd w:val="clear" w:color="auto" w:fill="FFFFFF"/>
        </w:rPr>
        <w:t>调研、工作、学习等支出</w:t>
      </w:r>
      <w:r>
        <w:rPr>
          <w:rFonts w:hint="eastAsia" w:ascii="仿宋_GB2312" w:hAnsi="仿宋_GB2312" w:eastAsia="仿宋_GB2312" w:cs="仿宋_GB2312"/>
          <w:bCs/>
          <w:sz w:val="32"/>
          <w:szCs w:val="32"/>
        </w:rPr>
        <w:t>。</w:t>
      </w:r>
      <w:r>
        <w:rPr>
          <w:rFonts w:ascii="Times New Roman" w:hAnsi="Times New Roman" w:eastAsia="仿宋_GB2312"/>
          <w:bCs/>
          <w:sz w:val="32"/>
          <w:szCs w:val="32"/>
        </w:rPr>
        <w:t>增加的主要原因是</w:t>
      </w:r>
      <w:r>
        <w:rPr>
          <w:rFonts w:hint="eastAsia" w:ascii="仿宋_GB2312" w:hAnsi="仿宋_GB2312" w:eastAsia="仿宋_GB2312" w:cs="仿宋_GB2312"/>
          <w:bCs/>
          <w:color w:val="000000"/>
          <w:sz w:val="32"/>
          <w:szCs w:val="32"/>
        </w:rPr>
        <w:t>机构改革，原兰溪市劳动监察大队并入兰溪市劳动人事争议仲裁院造成支出增加</w:t>
      </w:r>
      <w:r>
        <w:rPr>
          <w:rFonts w:hint="eastAsia" w:ascii="Times New Roman" w:hAnsi="Times New Roman" w:eastAsia="仿宋_GB2312"/>
          <w:bCs/>
          <w:sz w:val="32"/>
          <w:szCs w:val="32"/>
        </w:rPr>
        <w:t>，预算与去年两个单位预算合计数持平</w:t>
      </w:r>
      <w:r>
        <w:rPr>
          <w:rFonts w:ascii="Times New Roman" w:hAnsi="Times New Roman" w:eastAsia="仿宋_GB2312"/>
          <w:bCs/>
          <w:sz w:val="32"/>
          <w:szCs w:val="32"/>
        </w:rPr>
        <w:t>。</w:t>
      </w:r>
    </w:p>
    <w:p>
      <w:pPr>
        <w:pStyle w:val="10"/>
        <w:spacing w:line="560" w:lineRule="exact"/>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sz w:val="32"/>
          <w:szCs w:val="32"/>
        </w:rPr>
        <w:t>3.公务用车购置及运行维护费：2023年安排公务用车购置及运行维护费预算0万元，比上年执行数增长0%。其中，公务用车购置支出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万元（含购置税等附加费用），主要用于经批准购置的</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辆公务用车；公务用车运行维护费支出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万元，主要用于机要通信和应急公务用车经费</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万元，和日常工作所需的公务用车燃料费、维修费、过桥过路费、保险费、安全奖励费用等支出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w:t>
      </w:r>
    </w:p>
    <w:p>
      <w:pPr>
        <w:overflowPunct/>
        <w:autoSpaceDE/>
        <w:autoSpaceDN/>
        <w:adjustRightInd/>
        <w:spacing w:line="560" w:lineRule="exact"/>
        <w:ind w:firstLine="630" w:firstLineChars="196"/>
        <w:textAlignment w:val="auto"/>
        <w:rPr>
          <w:rFonts w:ascii="Times New Roman" w:hAnsi="Times New Roman" w:eastAsia="楷体_GB2312"/>
          <w:b/>
          <w:sz w:val="32"/>
          <w:szCs w:val="32"/>
        </w:rPr>
      </w:pPr>
      <w:r>
        <w:rPr>
          <w:rFonts w:ascii="Times New Roman" w:hAnsi="Times New Roman" w:eastAsia="楷体_GB2312"/>
          <w:b/>
          <w:sz w:val="32"/>
          <w:szCs w:val="32"/>
        </w:rPr>
        <w:t>（十）其他重要事项的情况说明</w:t>
      </w:r>
    </w:p>
    <w:p>
      <w:pPr>
        <w:pStyle w:val="10"/>
        <w:spacing w:line="560" w:lineRule="exact"/>
        <w:ind w:firstLine="60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1.机关运行经费</w:t>
      </w:r>
    </w:p>
    <w:p>
      <w:pPr>
        <w:pStyle w:val="1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2023年</w:t>
      </w:r>
      <w:r>
        <w:rPr>
          <w:rFonts w:hint="eastAsia" w:ascii="仿宋_GB2312" w:hAnsi="仿宋_GB2312" w:eastAsia="仿宋_GB2312" w:cs="仿宋_GB2312"/>
          <w:bCs/>
          <w:color w:val="000000"/>
          <w:sz w:val="32"/>
          <w:szCs w:val="32"/>
        </w:rPr>
        <w:t>兰溪市劳动人事争议仲裁院1家参公事业单位的机关运行经费财政拨款</w:t>
      </w:r>
      <w:r>
        <w:rPr>
          <w:rFonts w:hint="eastAsia" w:ascii="仿宋_GB2312" w:hAnsi="仿宋_GB2312" w:eastAsia="仿宋_GB2312" w:cs="仿宋_GB2312"/>
          <w:bCs/>
          <w:sz w:val="32"/>
          <w:szCs w:val="32"/>
        </w:rPr>
        <w:t>预算36.2680万元，</w:t>
      </w:r>
      <w:r>
        <w:rPr>
          <w:rFonts w:hint="eastAsia" w:ascii="仿宋_GB2312" w:hAnsi="仿宋_GB2312" w:eastAsia="仿宋_GB2312" w:cs="仿宋_GB2312"/>
          <w:sz w:val="32"/>
          <w:szCs w:val="32"/>
        </w:rPr>
        <w:t>比2022年预算增加</w:t>
      </w:r>
      <w:r>
        <w:rPr>
          <w:rFonts w:hint="eastAsia" w:ascii="仿宋_GB2312" w:hAnsi="仿宋_GB2312" w:eastAsia="仿宋_GB2312" w:cs="仿宋_GB2312"/>
          <w:bCs/>
          <w:sz w:val="32"/>
          <w:szCs w:val="32"/>
        </w:rPr>
        <w:t>21.7080</w:t>
      </w:r>
      <w:r>
        <w:rPr>
          <w:rFonts w:hint="eastAsia" w:ascii="仿宋_GB2312" w:hAnsi="仿宋_GB2312" w:eastAsia="仿宋_GB2312" w:cs="仿宋_GB2312"/>
          <w:sz w:val="32"/>
          <w:szCs w:val="32"/>
        </w:rPr>
        <w:t>万元</w:t>
      </w:r>
      <w:r>
        <w:rPr>
          <w:rFonts w:hint="eastAsia" w:ascii="仿宋_GB2312" w:hAnsi="仿宋_GB2312" w:eastAsia="仿宋_GB2312" w:cs="仿宋_GB2312"/>
          <w:kern w:val="2"/>
          <w:sz w:val="32"/>
          <w:szCs w:val="32"/>
          <w:lang w:bidi="ar"/>
        </w:rPr>
        <w:t>，增长149.09%，主要是</w:t>
      </w:r>
      <w:r>
        <w:rPr>
          <w:rFonts w:hint="eastAsia" w:ascii="仿宋_GB2312" w:hAnsi="仿宋_GB2312" w:eastAsia="仿宋_GB2312" w:cs="仿宋_GB2312"/>
          <w:bCs/>
          <w:color w:val="000000"/>
          <w:sz w:val="32"/>
          <w:szCs w:val="32"/>
        </w:rPr>
        <w:t>机构改革，原兰溪市劳动监察大队并入兰溪市劳动人事争议仲裁院造成支出增加</w:t>
      </w:r>
      <w:r>
        <w:rPr>
          <w:rFonts w:hint="eastAsia" w:ascii="仿宋_GB2312" w:hAnsi="仿宋_GB2312" w:eastAsia="仿宋_GB2312" w:cs="仿宋_GB2312"/>
          <w:kern w:val="2"/>
          <w:sz w:val="32"/>
          <w:szCs w:val="32"/>
          <w:lang w:bidi="ar"/>
        </w:rPr>
        <w:t>。</w:t>
      </w:r>
    </w:p>
    <w:p>
      <w:pPr>
        <w:pStyle w:val="10"/>
        <w:numPr>
          <w:ilvl w:val="0"/>
          <w:numId w:val="2"/>
        </w:numPr>
        <w:spacing w:line="560" w:lineRule="exact"/>
        <w:ind w:firstLine="600"/>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政府采购情况</w:t>
      </w:r>
    </w:p>
    <w:p>
      <w:pPr>
        <w:pStyle w:val="1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2023年</w:t>
      </w:r>
      <w:r>
        <w:rPr>
          <w:rFonts w:hint="eastAsia" w:ascii="仿宋_GB2312" w:hAnsi="仿宋_GB2312" w:eastAsia="仿宋_GB2312" w:cs="仿宋_GB2312"/>
          <w:bCs/>
          <w:color w:val="000000"/>
          <w:sz w:val="32"/>
          <w:szCs w:val="32"/>
        </w:rPr>
        <w:t>兰溪市劳动人事争议仲裁院政府采购预算总额3.84万元，其中：政府采购货物预算3.84万元、政府采购工程预算0万元、政府采购服务预算0万元。</w:t>
      </w:r>
    </w:p>
    <w:p>
      <w:pPr>
        <w:pStyle w:val="10"/>
        <w:spacing w:line="560" w:lineRule="exact"/>
        <w:ind w:firstLine="642"/>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3.国有资产占有使用情况    </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截至2022年12月31日，兰溪市劳动人事争议仲裁院预算单位共有车</w:t>
      </w:r>
      <w:r>
        <w:rPr>
          <w:rFonts w:hint="eastAsia" w:ascii="仿宋_GB2312" w:hAnsi="仿宋_GB2312" w:eastAsia="仿宋_GB2312" w:cs="仿宋_GB2312"/>
          <w:bCs/>
          <w:sz w:val="32"/>
          <w:szCs w:val="32"/>
        </w:rPr>
        <w:t>辆2辆，(本单位只有使用权，归属权属于机关事务管理服务中心）其中，领导用车0辆、应急机要通信用车0辆、一般执法执勤用车0辆、行政执法专用车2辆、特种专业技术用车</w:t>
      </w:r>
      <w:r>
        <w:rPr>
          <w:rFonts w:hint="eastAsia" w:ascii="仿宋_GB2312" w:hAnsi="仿宋_GB2312" w:eastAsia="仿宋_GB2312" w:cs="仿宋_GB2312"/>
          <w:bCs/>
          <w:color w:val="000000"/>
          <w:sz w:val="32"/>
          <w:szCs w:val="32"/>
        </w:rPr>
        <w:t>0辆、老干部服务用车0辆、其他用车0辆。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 xml:space="preserve">台（套）。 </w:t>
      </w:r>
    </w:p>
    <w:p>
      <w:pPr>
        <w:pStyle w:val="10"/>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2023年部门预算未安排购置</w:t>
      </w:r>
      <w:r>
        <w:rPr>
          <w:rFonts w:hint="eastAsia" w:ascii="仿宋_GB2312" w:hAnsi="仿宋_GB2312" w:eastAsia="仿宋_GB2312" w:cs="仿宋_GB2312"/>
          <w:sz w:val="32"/>
          <w:szCs w:val="32"/>
        </w:rPr>
        <w:t>车辆、单位价值50万元以上通用设备及单位价值100万元以上专用设备</w:t>
      </w:r>
      <w:r>
        <w:rPr>
          <w:rFonts w:hint="eastAsia" w:ascii="仿宋_GB2312" w:hAnsi="仿宋_GB2312" w:eastAsia="仿宋_GB2312" w:cs="仿宋_GB2312"/>
          <w:bCs/>
          <w:color w:val="000000"/>
          <w:sz w:val="32"/>
          <w:szCs w:val="32"/>
        </w:rPr>
        <w:t>。</w:t>
      </w:r>
    </w:p>
    <w:p>
      <w:pPr>
        <w:pStyle w:val="10"/>
        <w:spacing w:line="560" w:lineRule="exact"/>
        <w:rPr>
          <w:rFonts w:ascii="仿宋_GB2312" w:hAnsi="仿宋_GB2312" w:eastAsia="仿宋_GB2312" w:cs="仿宋_GB2312"/>
          <w:b/>
          <w:sz w:val="32"/>
          <w:szCs w:val="32"/>
          <w:u w:val="single"/>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4.绩效目标设置情况</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 xml:space="preserve"> 2023年</w:t>
      </w:r>
      <w:r>
        <w:rPr>
          <w:rFonts w:hint="eastAsia" w:ascii="仿宋_GB2312" w:hAnsi="仿宋_GB2312" w:eastAsia="仿宋_GB2312" w:cs="仿宋_GB2312"/>
          <w:bCs/>
          <w:color w:val="000000"/>
          <w:sz w:val="32"/>
          <w:szCs w:val="32"/>
        </w:rPr>
        <w:t>兰溪市劳动人事争议仲裁院其他运转类和特定目标类项目均实行绩效目标管理，涉及一般公共预算当年拨款  33.8400万元。一级项目1个。</w:t>
      </w:r>
    </w:p>
    <w:p>
      <w:pPr>
        <w:pStyle w:val="10"/>
        <w:overflowPunct/>
        <w:autoSpaceDE/>
        <w:autoSpaceDN/>
        <w:adjustRightInd/>
        <w:spacing w:line="560" w:lineRule="exact"/>
        <w:ind w:firstLine="643" w:firstLineChars="200"/>
        <w:textAlignment w:val="auto"/>
        <w:rPr>
          <w:rStyle w:val="7"/>
          <w:rFonts w:ascii="Times New Roman" w:hAnsi="Times New Roman" w:eastAsia="黑体"/>
          <w:bCs w:val="0"/>
          <w:sz w:val="32"/>
          <w:szCs w:val="32"/>
        </w:rPr>
      </w:pPr>
      <w:r>
        <w:rPr>
          <w:rStyle w:val="7"/>
          <w:rFonts w:ascii="Times New Roman" w:hAnsi="Times New Roman" w:eastAsia="黑体"/>
          <w:bCs w:val="0"/>
          <w:sz w:val="32"/>
          <w:szCs w:val="32"/>
        </w:rPr>
        <w:t>三、名词解释</w:t>
      </w:r>
    </w:p>
    <w:p>
      <w:pPr>
        <w:overflowPunct/>
        <w:spacing w:line="5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1.财政拨款收入：本级财政部门当年拨付的财政预算资金，包括一般公共预算财政拨款和政府性基金预算财政拨款。</w:t>
      </w:r>
    </w:p>
    <w:p>
      <w:pPr>
        <w:overflowPunct/>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.基本支出：是预算单位为保障其正常运转，完成日常工作任务所发生的支出，包括人员支出和日常公用支出。</w:t>
      </w:r>
    </w:p>
    <w:p>
      <w:pPr>
        <w:overflowPunct/>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.项目支出：是预算单位为完成其特定的行政工作任务或事业发展目标所发生的支出。</w:t>
      </w:r>
    </w:p>
    <w:p>
      <w:pPr>
        <w:overflowPunct/>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overflowPunct/>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spacing w:line="520" w:lineRule="exact"/>
        <w:ind w:firstLine="640" w:firstLineChars="200"/>
        <w:textAlignment w:val="auto"/>
        <w:rPr>
          <w:rFonts w:ascii="仿宋" w:hAnsi="仿宋" w:eastAsia="仿宋" w:cs="仿宋"/>
          <w:color w:val="171A1D"/>
          <w:sz w:val="32"/>
          <w:szCs w:val="32"/>
          <w:shd w:val="clear" w:color="auto" w:fill="FFFFFF"/>
        </w:rPr>
      </w:pPr>
      <w:r>
        <w:rPr>
          <w:rFonts w:hint="eastAsia" w:ascii="仿宋" w:hAnsi="仿宋" w:eastAsia="仿宋" w:cs="仿宋"/>
          <w:sz w:val="32"/>
          <w:szCs w:val="32"/>
        </w:rPr>
        <w:t>6.</w:t>
      </w:r>
      <w:r>
        <w:rPr>
          <w:rFonts w:hint="eastAsia" w:ascii="仿宋_GB2312" w:hAnsi="仿宋_GB2312" w:eastAsia="仿宋_GB2312" w:cs="仿宋_GB2312"/>
          <w:bCs/>
          <w:color w:val="000000"/>
          <w:sz w:val="32"/>
          <w:szCs w:val="32"/>
        </w:rPr>
        <w:t>社会保障和就业支出（类）人力资源和社会保障管理事务（款）劳动关系和维权（项）</w:t>
      </w:r>
      <w:r>
        <w:rPr>
          <w:rFonts w:hint="eastAsia" w:ascii="仿宋" w:hAnsi="仿宋" w:eastAsia="仿宋" w:cs="仿宋"/>
          <w:color w:val="171A1D"/>
          <w:sz w:val="32"/>
          <w:szCs w:val="32"/>
          <w:shd w:val="clear" w:color="auto" w:fill="FFFFFF"/>
        </w:rPr>
        <w:t>：</w:t>
      </w:r>
      <w:r>
        <w:rPr>
          <w:rFonts w:hint="eastAsia" w:ascii="Times New Roman" w:hAnsi="Times New Roman" w:eastAsia="仿宋_GB2312"/>
          <w:bCs/>
          <w:color w:val="000000"/>
          <w:sz w:val="32"/>
          <w:szCs w:val="32"/>
        </w:rPr>
        <w:t>反映</w:t>
      </w:r>
      <w:r>
        <w:rPr>
          <w:rFonts w:hint="eastAsia" w:ascii="仿宋" w:hAnsi="仿宋" w:eastAsia="仿宋" w:cs="仿宋"/>
          <w:color w:val="171A1D"/>
          <w:sz w:val="32"/>
          <w:szCs w:val="32"/>
          <w:shd w:val="clear" w:color="auto" w:fill="FFFFFF"/>
        </w:rPr>
        <w:t>的劳动关系和维权事务支出。</w:t>
      </w:r>
    </w:p>
    <w:p>
      <w:pPr>
        <w:pStyle w:val="2"/>
        <w:ind w:firstLine="640" w:firstLineChars="200"/>
        <w:rPr>
          <w:rFonts w:hint="default" w:ascii="仿宋" w:hAnsi="仿宋" w:eastAsia="仿宋" w:cs="仿宋"/>
          <w:color w:val="auto"/>
          <w:sz w:val="32"/>
          <w:szCs w:val="32"/>
        </w:rPr>
      </w:pPr>
      <w:r>
        <w:rPr>
          <w:rFonts w:ascii="仿宋" w:hAnsi="仿宋" w:eastAsia="仿宋" w:cs="仿宋"/>
          <w:color w:val="auto"/>
          <w:sz w:val="32"/>
          <w:szCs w:val="32"/>
        </w:rPr>
        <w:t>7.</w:t>
      </w:r>
      <w:r>
        <w:rPr>
          <w:rFonts w:hint="default" w:ascii="Times New Roman" w:hAnsi="Times New Roman"/>
          <w:bCs/>
          <w:sz w:val="32"/>
          <w:szCs w:val="32"/>
        </w:rPr>
        <w:t>社会保障和就业支出（类）行政事业单位养老支出（款）</w:t>
      </w:r>
      <w:r>
        <w:rPr>
          <w:rFonts w:ascii="Times New Roman" w:hAnsi="Times New Roman"/>
          <w:bCs/>
          <w:sz w:val="32"/>
          <w:szCs w:val="32"/>
        </w:rPr>
        <w:t>事业</w:t>
      </w:r>
      <w:r>
        <w:rPr>
          <w:rFonts w:hint="default" w:ascii="Times New Roman" w:hAnsi="Times New Roman"/>
          <w:bCs/>
          <w:sz w:val="32"/>
          <w:szCs w:val="32"/>
        </w:rPr>
        <w:t>单位离退休（项）</w:t>
      </w:r>
      <w:r>
        <w:rPr>
          <w:rFonts w:ascii="Times New Roman" w:hAnsi="Times New Roman"/>
          <w:bCs/>
          <w:sz w:val="32"/>
          <w:szCs w:val="32"/>
        </w:rPr>
        <w:t>：反映事业单位开支的离退休经费</w:t>
      </w:r>
      <w:r>
        <w:rPr>
          <w:rFonts w:ascii="仿宋" w:hAnsi="仿宋" w:eastAsia="仿宋" w:cs="仿宋"/>
          <w:color w:val="auto"/>
          <w:sz w:val="32"/>
          <w:szCs w:val="32"/>
        </w:rPr>
        <w:t>。</w:t>
      </w:r>
    </w:p>
    <w:p>
      <w:pPr>
        <w:pStyle w:val="2"/>
        <w:ind w:firstLine="640" w:firstLineChars="200"/>
        <w:rPr>
          <w:rFonts w:hint="default" w:ascii="仿宋" w:hAnsi="仿宋" w:eastAsia="仿宋" w:cs="仿宋"/>
          <w:color w:val="171A1D"/>
          <w:sz w:val="32"/>
          <w:szCs w:val="32"/>
          <w:shd w:val="clear" w:color="auto" w:fill="FFFFFF"/>
        </w:rPr>
      </w:pPr>
      <w:r>
        <w:rPr>
          <w:rFonts w:ascii="仿宋" w:hAnsi="仿宋" w:eastAsia="仿宋" w:cs="仿宋"/>
          <w:color w:val="171A1D"/>
          <w:sz w:val="32"/>
          <w:szCs w:val="32"/>
          <w:shd w:val="clear" w:color="auto" w:fill="FFFFFF"/>
        </w:rPr>
        <w:t>8.</w:t>
      </w:r>
      <w:r>
        <w:rPr>
          <w:rFonts w:hint="default" w:ascii="仿宋" w:hAnsi="仿宋" w:eastAsia="仿宋" w:cs="仿宋"/>
          <w:color w:val="171A1D"/>
          <w:sz w:val="32"/>
          <w:szCs w:val="32"/>
          <w:shd w:val="clear" w:color="auto" w:fill="FFFFFF"/>
        </w:rPr>
        <w:t>社会保障和就业支出（类）行政事业单位养老支出（款）机关事业单位基本养老保险缴费支出（项）</w:t>
      </w:r>
      <w:r>
        <w:rPr>
          <w:rFonts w:ascii="仿宋" w:hAnsi="仿宋" w:eastAsia="仿宋" w:cs="仿宋"/>
          <w:color w:val="171A1D"/>
          <w:sz w:val="32"/>
          <w:szCs w:val="32"/>
          <w:shd w:val="clear" w:color="auto" w:fill="FFFFFF"/>
        </w:rPr>
        <w:t>：反映机关事业单位实施养老保险制度由单位缴纳的基本养老保险费支出</w:t>
      </w:r>
      <w:r>
        <w:rPr>
          <w:rFonts w:hint="default" w:ascii="仿宋" w:hAnsi="仿宋" w:eastAsia="仿宋" w:cs="仿宋"/>
          <w:color w:val="171A1D"/>
          <w:sz w:val="32"/>
          <w:szCs w:val="32"/>
          <w:shd w:val="clear" w:color="auto" w:fill="FFFFFF"/>
        </w:rPr>
        <w:t>。</w:t>
      </w:r>
    </w:p>
    <w:p>
      <w:pPr>
        <w:pStyle w:val="2"/>
        <w:rPr>
          <w:rFonts w:hint="default" w:ascii="仿宋" w:hAnsi="仿宋" w:eastAsia="仿宋" w:cs="仿宋"/>
          <w:sz w:val="32"/>
          <w:szCs w:val="32"/>
        </w:rPr>
      </w:pPr>
      <w:r>
        <w:rPr>
          <w:rFonts w:ascii="仿宋" w:hAnsi="仿宋" w:eastAsia="仿宋" w:cs="仿宋"/>
          <w:color w:val="171A1D"/>
          <w:sz w:val="32"/>
          <w:szCs w:val="32"/>
          <w:shd w:val="clear" w:color="auto" w:fill="FFFFFF"/>
        </w:rPr>
        <w:t xml:space="preserve">    9.</w:t>
      </w:r>
      <w:r>
        <w:rPr>
          <w:rFonts w:hint="default" w:ascii="Times New Roman" w:hAnsi="Times New Roman"/>
          <w:bCs/>
          <w:sz w:val="32"/>
          <w:szCs w:val="32"/>
        </w:rPr>
        <w:t>社会保障和就业支出（类）行政事业单位养老支出（款）机关事业单位职业年金缴费支出（项）</w:t>
      </w:r>
      <w:r>
        <w:rPr>
          <w:rFonts w:ascii="Times New Roman" w:hAnsi="Times New Roman"/>
          <w:bCs/>
          <w:sz w:val="32"/>
          <w:szCs w:val="32"/>
        </w:rPr>
        <w:t>：反映机关事业单位实施养老保险制度由单位实际缴纳的职业年金支出。</w:t>
      </w:r>
    </w:p>
    <w:p>
      <w:pPr>
        <w:pStyle w:val="2"/>
        <w:ind w:firstLine="640"/>
        <w:rPr>
          <w:rFonts w:hint="default" w:ascii="仿宋" w:hAnsi="仿宋" w:eastAsia="仿宋" w:cs="仿宋"/>
          <w:color w:val="171A1D"/>
          <w:sz w:val="32"/>
          <w:szCs w:val="32"/>
          <w:shd w:val="clear" w:color="auto" w:fill="FFFFFF"/>
        </w:rPr>
      </w:pPr>
      <w:r>
        <w:rPr>
          <w:rFonts w:ascii="仿宋" w:hAnsi="仿宋" w:eastAsia="仿宋" w:cs="仿宋"/>
          <w:sz w:val="32"/>
          <w:szCs w:val="32"/>
        </w:rPr>
        <w:t>10.</w:t>
      </w:r>
      <w:r>
        <w:rPr>
          <w:rFonts w:hint="default" w:ascii="Times New Roman" w:hAnsi="Times New Roman"/>
          <w:bCs/>
          <w:sz w:val="32"/>
          <w:szCs w:val="32"/>
        </w:rPr>
        <w:t>社会保障和就业支出（类）行政事业单位养老支出（款）机关事业单位职业年金缴费支出（项）</w:t>
      </w:r>
      <w:r>
        <w:rPr>
          <w:rFonts w:ascii="Times New Roman" w:hAnsi="Times New Roman"/>
          <w:bCs/>
          <w:sz w:val="32"/>
          <w:szCs w:val="32"/>
        </w:rPr>
        <w:t>：反映机关事业单位实施养老保险制度由单位实际缴纳的职业年金支出</w:t>
      </w:r>
      <w:r>
        <w:rPr>
          <w:rFonts w:ascii="仿宋" w:hAnsi="仿宋" w:eastAsia="仿宋" w:cs="仿宋"/>
          <w:color w:val="171A1D"/>
          <w:sz w:val="32"/>
          <w:szCs w:val="32"/>
          <w:shd w:val="clear" w:color="auto" w:fill="FFFFFF"/>
        </w:rPr>
        <w:t>。</w:t>
      </w:r>
    </w:p>
    <w:p>
      <w:pPr>
        <w:spacing w:line="560" w:lineRule="exact"/>
        <w:ind w:firstLine="640" w:firstLineChars="200"/>
        <w:jc w:val="left"/>
        <w:rPr>
          <w:rFonts w:ascii="Times New Roman" w:hAnsi="Times New Roman" w:eastAsia="仿宋_GB2312"/>
          <w:bCs/>
          <w:color w:val="000000"/>
          <w:sz w:val="32"/>
          <w:szCs w:val="32"/>
        </w:rPr>
      </w:pPr>
      <w:r>
        <w:rPr>
          <w:rFonts w:hint="eastAsia" w:ascii="仿宋" w:hAnsi="仿宋" w:eastAsia="仿宋" w:cs="仿宋"/>
          <w:color w:val="171A1D"/>
          <w:sz w:val="32"/>
          <w:szCs w:val="32"/>
          <w:shd w:val="clear" w:color="auto" w:fill="FFFFFF"/>
        </w:rPr>
        <w:t>11.</w:t>
      </w:r>
      <w:r>
        <w:rPr>
          <w:rFonts w:ascii="Times New Roman" w:hAnsi="Times New Roman" w:eastAsia="仿宋_GB2312"/>
          <w:bCs/>
          <w:color w:val="000000"/>
          <w:sz w:val="32"/>
          <w:szCs w:val="32"/>
        </w:rPr>
        <w:t>社会保障和就业支出（类）行政事业单位养老支出（款）机关事业单位职业年金缴费支出（项）</w:t>
      </w:r>
      <w:r>
        <w:rPr>
          <w:rFonts w:hint="eastAsia" w:ascii="Times New Roman" w:hAnsi="Times New Roman" w:eastAsia="仿宋_GB2312"/>
          <w:bCs/>
          <w:color w:val="000000"/>
          <w:sz w:val="32"/>
          <w:szCs w:val="32"/>
        </w:rPr>
        <w:t>：反映机关事业单位实施养老保险制度由单位实际缴纳的职业年金支出。</w:t>
      </w:r>
    </w:p>
    <w:p>
      <w:pPr>
        <w:pStyle w:val="2"/>
        <w:ind w:firstLine="549"/>
        <w:rPr>
          <w:rFonts w:hint="default" w:ascii="Times New Roman" w:hAnsi="Times New Roman"/>
          <w:color w:val="auto"/>
          <w:sz w:val="32"/>
          <w:szCs w:val="32"/>
        </w:rPr>
      </w:pPr>
    </w:p>
    <w:p>
      <w:pPr>
        <w:pStyle w:val="2"/>
        <w:rPr>
          <w:rFonts w:hint="default" w:ascii="Times New Roman" w:hAnsi="Times New Roman"/>
          <w:color w:val="auto"/>
          <w:sz w:val="32"/>
          <w:szCs w:val="32"/>
        </w:rPr>
      </w:pPr>
    </w:p>
    <w:p>
      <w:pPr>
        <w:pStyle w:val="2"/>
        <w:rPr>
          <w:rFonts w:hint="default" w:ascii="Times New Roman" w:hAnsi="Times New Roman"/>
          <w:color w:val="auto"/>
          <w:sz w:val="32"/>
          <w:szCs w:val="32"/>
        </w:rPr>
      </w:pPr>
    </w:p>
    <w:p>
      <w:pPr>
        <w:pStyle w:val="2"/>
        <w:rPr>
          <w:rFonts w:hint="default" w:ascii="Times New Roman" w:hAnsi="Times New Roman"/>
          <w:color w:val="auto"/>
          <w:sz w:val="32"/>
          <w:szCs w:val="32"/>
        </w:rPr>
      </w:pPr>
    </w:p>
    <w:p>
      <w:pPr>
        <w:pStyle w:val="2"/>
        <w:rPr>
          <w:rFonts w:hint="default" w:ascii="Times New Roman" w:hAnsi="Times New Roman"/>
          <w:color w:val="auto"/>
          <w:sz w:val="32"/>
          <w:szCs w:val="32"/>
        </w:rPr>
      </w:pPr>
    </w:p>
    <w:p>
      <w:pPr>
        <w:pStyle w:val="2"/>
        <w:rPr>
          <w:rFonts w:hint="default" w:ascii="Times New Roman" w:hAnsi="Times New Roman"/>
          <w:color w:val="auto"/>
          <w:sz w:val="32"/>
          <w:szCs w:val="32"/>
        </w:rPr>
      </w:pPr>
    </w:p>
    <w:p>
      <w:pPr>
        <w:pStyle w:val="2"/>
        <w:rPr>
          <w:rFonts w:hint="default" w:ascii="Times New Roman" w:hAnsi="Times New Roman"/>
          <w:color w:val="auto"/>
          <w:sz w:val="32"/>
          <w:szCs w:val="32"/>
        </w:rPr>
      </w:pPr>
    </w:p>
    <w:p>
      <w:pPr>
        <w:pStyle w:val="2"/>
        <w:rPr>
          <w:rFonts w:hint="default" w:ascii="Times New Roman" w:hAnsi="Times New Roman"/>
          <w:color w:val="auto"/>
          <w:sz w:val="32"/>
          <w:szCs w:val="32"/>
        </w:rPr>
      </w:pPr>
    </w:p>
    <w:p>
      <w:pPr>
        <w:pStyle w:val="2"/>
        <w:rPr>
          <w:rFonts w:hint="default" w:ascii="Times New Roman" w:hAnsi="Times New Roman"/>
          <w:color w:val="auto"/>
          <w:sz w:val="32"/>
          <w:szCs w:val="32"/>
        </w:rPr>
      </w:pPr>
    </w:p>
    <w:p>
      <w:pPr>
        <w:pStyle w:val="2"/>
        <w:rPr>
          <w:rFonts w:hint="default" w:ascii="Times New Roman" w:hAnsi="Times New Roman"/>
          <w:color w:val="auto"/>
          <w:sz w:val="32"/>
          <w:szCs w:val="32"/>
        </w:rPr>
      </w:pPr>
    </w:p>
    <w:p>
      <w:pPr>
        <w:widowControl w:val="0"/>
        <w:overflowPunct/>
        <w:autoSpaceDE/>
        <w:autoSpaceDN/>
        <w:adjustRightInd/>
        <w:spacing w:line="560" w:lineRule="exact"/>
        <w:textAlignment w:val="auto"/>
        <w:rPr>
          <w:rStyle w:val="7"/>
          <w:rFonts w:ascii="Times New Roman" w:hAnsi="Times New Roman" w:eastAsia="楷体_GB2312"/>
          <w:bCs w:val="0"/>
          <w:color w:val="000000"/>
          <w:sz w:val="32"/>
          <w:szCs w:val="32"/>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r>
        <w:rPr>
          <w:rStyle w:val="7"/>
          <w:rFonts w:hint="eastAsia" w:ascii="Times New Roman" w:hAnsi="Times New Roman" w:eastAsia="楷体_GB2312"/>
          <w:bCs w:val="0"/>
          <w:color w:val="000000"/>
          <w:sz w:val="32"/>
          <w:szCs w:val="32"/>
        </w:rPr>
        <w:t>四</w:t>
      </w:r>
      <w:r>
        <w:rPr>
          <w:rStyle w:val="7"/>
          <w:rFonts w:ascii="Times New Roman" w:hAnsi="Times New Roman" w:eastAsia="楷体_GB2312"/>
          <w:bCs w:val="0"/>
          <w:color w:val="000000"/>
          <w:sz w:val="32"/>
          <w:szCs w:val="32"/>
        </w:rPr>
        <w:t>、</w:t>
      </w:r>
      <w:r>
        <w:rPr>
          <w:rStyle w:val="7"/>
          <w:rFonts w:hint="eastAsia" w:ascii="Times New Roman" w:hAnsi="Times New Roman" w:eastAsia="楷体_GB2312"/>
          <w:bCs w:val="0"/>
          <w:color w:val="000000"/>
          <w:sz w:val="32"/>
          <w:szCs w:val="32"/>
        </w:rPr>
        <w:t>2023</w:t>
      </w:r>
      <w:r>
        <w:rPr>
          <w:rStyle w:val="7"/>
          <w:rFonts w:ascii="Times New Roman" w:hAnsi="Times New Roman" w:eastAsia="楷体_GB2312"/>
          <w:bCs w:val="0"/>
          <w:color w:val="000000"/>
          <w:sz w:val="32"/>
          <w:szCs w:val="32"/>
        </w:rPr>
        <w:t>年</w:t>
      </w:r>
      <w:r>
        <w:rPr>
          <w:rStyle w:val="7"/>
          <w:rFonts w:hint="eastAsia" w:ascii="Times New Roman" w:hAnsi="Times New Roman" w:eastAsia="楷体_GB2312"/>
          <w:bCs w:val="0"/>
          <w:color w:val="000000"/>
          <w:sz w:val="32"/>
          <w:szCs w:val="32"/>
        </w:rPr>
        <w:t>兰溪市劳动人事争议仲裁院</w:t>
      </w:r>
      <w:r>
        <w:rPr>
          <w:rStyle w:val="7"/>
          <w:rFonts w:ascii="Times New Roman" w:hAnsi="Times New Roman" w:eastAsia="楷体_GB2312"/>
          <w:bCs w:val="0"/>
          <w:color w:val="000000"/>
          <w:sz w:val="32"/>
          <w:szCs w:val="32"/>
        </w:rPr>
        <w:t>单位预算</w:t>
      </w:r>
      <w:r>
        <w:rPr>
          <w:rStyle w:val="7"/>
          <w:rFonts w:hint="eastAsia" w:ascii="Times New Roman" w:hAnsi="Times New Roman" w:eastAsia="楷体_GB2312"/>
          <w:bCs w:val="0"/>
          <w:color w:val="000000"/>
          <w:sz w:val="32"/>
          <w:szCs w:val="32"/>
        </w:rPr>
        <w:t>表</w:t>
      </w:r>
    </w:p>
    <w:tbl>
      <w:tblPr>
        <w:tblStyle w:val="5"/>
        <w:tblW w:w="12120" w:type="dxa"/>
        <w:tblInd w:w="93" w:type="dxa"/>
        <w:tblLayout w:type="autofit"/>
        <w:tblCellMar>
          <w:top w:w="0" w:type="dxa"/>
          <w:left w:w="108" w:type="dxa"/>
          <w:bottom w:w="0" w:type="dxa"/>
          <w:right w:w="108" w:type="dxa"/>
        </w:tblCellMar>
      </w:tblPr>
      <w:tblGrid>
        <w:gridCol w:w="3516"/>
        <w:gridCol w:w="2100"/>
        <w:gridCol w:w="3474"/>
        <w:gridCol w:w="3030"/>
      </w:tblGrid>
      <w:tr>
        <w:tblPrEx>
          <w:tblCellMar>
            <w:top w:w="0" w:type="dxa"/>
            <w:left w:w="108" w:type="dxa"/>
            <w:bottom w:w="0" w:type="dxa"/>
            <w:right w:w="108" w:type="dxa"/>
          </w:tblCellMar>
        </w:tblPrEx>
        <w:trPr>
          <w:trHeight w:val="570" w:hRule="atLeast"/>
        </w:trPr>
        <w:tc>
          <w:tcPr>
            <w:tcW w:w="12120" w:type="dxa"/>
            <w:gridSpan w:val="4"/>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（一）2023年单位收支预算总表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0" w:type="auto"/>
            <w:tcBorders>
              <w:top w:val="nil"/>
              <w:left w:val="nil"/>
              <w:bottom w:val="nil"/>
              <w:right w:val="nil"/>
            </w:tcBorders>
            <w:shd w:val="clear" w:color="auto" w:fill="auto"/>
            <w:noWrap/>
            <w:vAlign w:val="bottom"/>
          </w:tcPr>
          <w:p>
            <w:pPr>
              <w:rPr>
                <w:rFonts w:cs="Calibri"/>
                <w:color w:val="000000"/>
                <w:kern w:val="2"/>
                <w:sz w:val="22"/>
                <w:szCs w:val="22"/>
              </w:rPr>
            </w:pPr>
          </w:p>
        </w:tc>
        <w:tc>
          <w:tcPr>
            <w:tcW w:w="0" w:type="auto"/>
            <w:tcBorders>
              <w:top w:val="nil"/>
              <w:left w:val="nil"/>
              <w:bottom w:val="nil"/>
              <w:right w:val="nil"/>
            </w:tcBorders>
            <w:shd w:val="clear" w:color="auto" w:fill="auto"/>
            <w:noWrap/>
            <w:vAlign w:val="bottom"/>
          </w:tcPr>
          <w:p>
            <w:pPr>
              <w:rPr>
                <w:rFonts w:cs="Calibri"/>
                <w:color w:val="000000"/>
                <w:kern w:val="2"/>
                <w:sz w:val="22"/>
                <w:szCs w:val="22"/>
              </w:rPr>
            </w:pPr>
          </w:p>
        </w:tc>
        <w:tc>
          <w:tcPr>
            <w:tcW w:w="3030" w:type="dxa"/>
            <w:tcBorders>
              <w:top w:val="nil"/>
              <w:left w:val="nil"/>
              <w:bottom w:val="nil"/>
              <w:right w:val="nil"/>
            </w:tcBorders>
            <w:shd w:val="clear" w:color="auto" w:fill="auto"/>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支                    出</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       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预算数</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    目</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预算数</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社会保障和就业支出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383.0269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人力资源和社会保障管理事务</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335.4349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劳动关系和维权</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335.4349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行政事业单位养老支出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47.5920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二、财政专户管理资金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事业单位离退休</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0.3600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三、事业收入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机关事业单位基本养老保险缴费支出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31.4880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四、事业单位经营收入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机关事业单位职业年金缴费支出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15.7440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五、上级补助收入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卫生健康支出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14.7600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六、附属单位上缴收入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行政事业单位医疗</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14.7600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七、其他收入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行政单位医疗</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14.7600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住房保障支出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31.5064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住房改革支出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31.5064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0"/>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住房公积金</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31.5064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3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支  出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r>
    </w:tbl>
    <w:p>
      <w:pPr>
        <w:pStyle w:val="3"/>
        <w:sectPr>
          <w:pgSz w:w="16838" w:h="11906" w:orient="landscape"/>
          <w:pgMar w:top="1587" w:right="1701" w:bottom="1587" w:left="1701" w:header="851" w:footer="1077" w:gutter="0"/>
          <w:pgNumType w:fmt="numberInDash"/>
          <w:cols w:space="720" w:num="1"/>
          <w:docGrid w:type="lines" w:linePitch="312" w:charSpace="0"/>
        </w:sectPr>
      </w:pPr>
    </w:p>
    <w:p/>
    <w:tbl>
      <w:tblPr>
        <w:tblStyle w:val="5"/>
        <w:tblW w:w="14400" w:type="dxa"/>
        <w:tblInd w:w="93" w:type="dxa"/>
        <w:tblLayout w:type="autofit"/>
        <w:tblCellMar>
          <w:top w:w="0" w:type="dxa"/>
          <w:left w:w="108" w:type="dxa"/>
          <w:bottom w:w="0" w:type="dxa"/>
          <w:right w:w="108" w:type="dxa"/>
        </w:tblCellMar>
      </w:tblPr>
      <w:tblGrid>
        <w:gridCol w:w="3316"/>
        <w:gridCol w:w="1170"/>
        <w:gridCol w:w="1170"/>
        <w:gridCol w:w="1140"/>
        <w:gridCol w:w="499"/>
        <w:gridCol w:w="489"/>
        <w:gridCol w:w="489"/>
        <w:gridCol w:w="487"/>
        <w:gridCol w:w="465"/>
        <w:gridCol w:w="507"/>
        <w:gridCol w:w="498"/>
        <w:gridCol w:w="465"/>
        <w:gridCol w:w="493"/>
        <w:gridCol w:w="500"/>
        <w:gridCol w:w="493"/>
        <w:gridCol w:w="512"/>
        <w:gridCol w:w="491"/>
        <w:gridCol w:w="1216"/>
      </w:tblGrid>
      <w:tr>
        <w:tblPrEx>
          <w:tblCellMar>
            <w:top w:w="0" w:type="dxa"/>
            <w:left w:w="108" w:type="dxa"/>
            <w:bottom w:w="0" w:type="dxa"/>
            <w:right w:w="108" w:type="dxa"/>
          </w:tblCellMar>
        </w:tblPrEx>
        <w:trPr>
          <w:trHeight w:val="675" w:hRule="atLeast"/>
        </w:trPr>
        <w:tc>
          <w:tcPr>
            <w:tcW w:w="14400" w:type="dxa"/>
            <w:gridSpan w:val="18"/>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（二）2023年单位收入预算总表</w:t>
            </w:r>
          </w:p>
        </w:tc>
      </w:tr>
      <w:tr>
        <w:tblPrEx>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117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17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14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645"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51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51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495"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465"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75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总计</w:t>
            </w:r>
          </w:p>
        </w:tc>
        <w:tc>
          <w:tcPr>
            <w:tcW w:w="6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本年收入</w:t>
            </w:r>
          </w:p>
        </w:tc>
        <w:tc>
          <w:tcPr>
            <w:tcW w:w="3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上年结转结余</w:t>
            </w:r>
          </w:p>
        </w:tc>
      </w:tr>
      <w:tr>
        <w:tblPrEx>
          <w:tblCellMar>
            <w:top w:w="0" w:type="dxa"/>
            <w:left w:w="108" w:type="dxa"/>
            <w:bottom w:w="0" w:type="dxa"/>
            <w:right w:w="108" w:type="dxa"/>
          </w:tblCellMar>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kern w:val="2"/>
                <w:sz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 xml:space="preserve"> 一般公共预算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政府性基金预算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国有资本经营预算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财政专户管理资金</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事业单位经营收入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上级补助收入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其他收入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一般公共预算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政府性基金预算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国有资本经营预算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Calibri"/>
                <w:color w:val="000000"/>
                <w:kern w:val="2"/>
                <w:sz w:val="20"/>
              </w:rPr>
            </w:pPr>
            <w:r>
              <w:rPr>
                <w:rFonts w:cs="Calibri"/>
                <w:color w:val="000000"/>
                <w:sz w:val="20"/>
                <w:lang w:bidi="ar"/>
              </w:rPr>
              <w:t>专户资金结转结余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Calibri"/>
                <w:color w:val="000000"/>
                <w:kern w:val="2"/>
                <w:sz w:val="20"/>
              </w:rPr>
            </w:pPr>
            <w:r>
              <w:rPr>
                <w:rFonts w:cs="Calibri"/>
                <w:color w:val="000000"/>
                <w:sz w:val="20"/>
                <w:lang w:bidi="ar"/>
              </w:rPr>
              <w:t>单位资金结转结余</w:t>
            </w: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17</w:t>
            </w: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kern w:val="2"/>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兰溪市劳动人事争议仲裁院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kern w:val="2"/>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兰溪市劳动人事争议仲裁院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kern w:val="2"/>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Pr>
        <w:pStyle w:val="3"/>
        <w:sectPr>
          <w:pgSz w:w="16838" w:h="11906" w:orient="landscape"/>
          <w:pgMar w:top="1587" w:right="1701" w:bottom="1587" w:left="1701" w:header="851" w:footer="1077" w:gutter="0"/>
          <w:pgNumType w:fmt="numberInDash"/>
          <w:cols w:space="720" w:num="1"/>
          <w:docGrid w:type="lines" w:linePitch="312" w:charSpace="0"/>
        </w:sectPr>
      </w:pPr>
    </w:p>
    <w:tbl>
      <w:tblPr>
        <w:tblStyle w:val="5"/>
        <w:tblW w:w="13559" w:type="dxa"/>
        <w:tblInd w:w="93" w:type="dxa"/>
        <w:tblLayout w:type="fixed"/>
        <w:tblCellMar>
          <w:top w:w="0" w:type="dxa"/>
          <w:left w:w="108" w:type="dxa"/>
          <w:bottom w:w="0" w:type="dxa"/>
          <w:right w:w="108" w:type="dxa"/>
        </w:tblCellMar>
      </w:tblPr>
      <w:tblGrid>
        <w:gridCol w:w="2996"/>
        <w:gridCol w:w="3120"/>
        <w:gridCol w:w="1410"/>
        <w:gridCol w:w="1575"/>
        <w:gridCol w:w="409"/>
        <w:gridCol w:w="926"/>
        <w:gridCol w:w="1230"/>
        <w:gridCol w:w="558"/>
        <w:gridCol w:w="582"/>
        <w:gridCol w:w="753"/>
      </w:tblGrid>
      <w:tr>
        <w:tblPrEx>
          <w:tblCellMar>
            <w:top w:w="0" w:type="dxa"/>
            <w:left w:w="108" w:type="dxa"/>
            <w:bottom w:w="0" w:type="dxa"/>
            <w:right w:w="108" w:type="dxa"/>
          </w:tblCellMar>
        </w:tblPrEx>
        <w:trPr>
          <w:trHeight w:val="600" w:hRule="atLeast"/>
        </w:trPr>
        <w:tc>
          <w:tcPr>
            <w:tcW w:w="13559" w:type="dxa"/>
            <w:gridSpan w:val="10"/>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（三）2023年单位支出预算总表</w:t>
            </w:r>
          </w:p>
        </w:tc>
      </w:tr>
      <w:tr>
        <w:tblPrEx>
          <w:tblCellMar>
            <w:top w:w="0" w:type="dxa"/>
            <w:left w:w="108" w:type="dxa"/>
            <w:bottom w:w="0" w:type="dxa"/>
            <w:right w:w="108" w:type="dxa"/>
          </w:tblCellMar>
        </w:tblPrEx>
        <w:trPr>
          <w:trHeight w:val="390" w:hRule="atLeast"/>
        </w:trPr>
        <w:tc>
          <w:tcPr>
            <w:tcW w:w="2996" w:type="dxa"/>
            <w:tcBorders>
              <w:top w:val="nil"/>
              <w:left w:val="nil"/>
              <w:bottom w:val="single" w:color="000000" w:sz="4" w:space="0"/>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3120" w:type="dxa"/>
            <w:tcBorders>
              <w:top w:val="nil"/>
              <w:left w:val="nil"/>
              <w:bottom w:val="nil"/>
              <w:right w:val="nil"/>
            </w:tcBorders>
            <w:shd w:val="clear" w:color="auto" w:fill="auto"/>
            <w:vAlign w:val="center"/>
          </w:tcPr>
          <w:p>
            <w:pPr>
              <w:jc w:val="center"/>
              <w:rPr>
                <w:rFonts w:ascii="宋体" w:hAnsi="宋体" w:cs="宋体"/>
                <w:color w:val="000000"/>
                <w:kern w:val="2"/>
                <w:sz w:val="20"/>
              </w:rPr>
            </w:pPr>
          </w:p>
        </w:tc>
        <w:tc>
          <w:tcPr>
            <w:tcW w:w="141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984" w:type="dxa"/>
            <w:gridSpan w:val="2"/>
            <w:tcBorders>
              <w:top w:val="nil"/>
              <w:left w:val="nil"/>
              <w:bottom w:val="nil"/>
              <w:right w:val="nil"/>
            </w:tcBorders>
            <w:shd w:val="clear" w:color="auto" w:fill="auto"/>
            <w:vAlign w:val="center"/>
          </w:tcPr>
          <w:p>
            <w:pPr>
              <w:rPr>
                <w:rFonts w:ascii="宋体" w:hAnsi="宋体" w:cs="宋体"/>
                <w:color w:val="000000"/>
                <w:kern w:val="2"/>
                <w:sz w:val="20"/>
              </w:rPr>
            </w:pPr>
          </w:p>
        </w:tc>
        <w:tc>
          <w:tcPr>
            <w:tcW w:w="926"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23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558" w:type="dxa"/>
            <w:tcBorders>
              <w:top w:val="nil"/>
              <w:left w:val="nil"/>
              <w:bottom w:val="nil"/>
              <w:right w:val="nil"/>
            </w:tcBorders>
            <w:shd w:val="clear" w:color="auto" w:fill="auto"/>
            <w:noWrap/>
            <w:vAlign w:val="bottom"/>
          </w:tcPr>
          <w:p>
            <w:pPr>
              <w:rPr>
                <w:rFonts w:cs="Calibri"/>
                <w:color w:val="000000"/>
                <w:kern w:val="2"/>
                <w:sz w:val="22"/>
                <w:szCs w:val="22"/>
              </w:rPr>
            </w:pPr>
          </w:p>
        </w:tc>
        <w:tc>
          <w:tcPr>
            <w:tcW w:w="582" w:type="dxa"/>
            <w:tcBorders>
              <w:top w:val="nil"/>
              <w:left w:val="nil"/>
              <w:bottom w:val="nil"/>
              <w:right w:val="nil"/>
            </w:tcBorders>
            <w:shd w:val="clear" w:color="auto" w:fill="auto"/>
            <w:noWrap/>
            <w:vAlign w:val="bottom"/>
          </w:tcPr>
          <w:p>
            <w:pPr>
              <w:rPr>
                <w:rFonts w:cs="Calibri"/>
                <w:color w:val="000000"/>
                <w:kern w:val="2"/>
                <w:sz w:val="22"/>
                <w:szCs w:val="22"/>
              </w:rPr>
            </w:pPr>
          </w:p>
        </w:tc>
        <w:tc>
          <w:tcPr>
            <w:tcW w:w="753" w:type="dxa"/>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600" w:hRule="atLeast"/>
        </w:trPr>
        <w:tc>
          <w:tcPr>
            <w:tcW w:w="2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总计</w:t>
            </w:r>
          </w:p>
        </w:tc>
        <w:tc>
          <w:tcPr>
            <w:tcW w:w="2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基本支出</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项目支出</w:t>
            </w: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事业单位经营支出</w:t>
            </w: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上缴上级支出</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对附属单位补助支出</w:t>
            </w:r>
          </w:p>
        </w:tc>
      </w:tr>
      <w:tr>
        <w:tblPrEx>
          <w:tblCellMar>
            <w:top w:w="0" w:type="dxa"/>
            <w:left w:w="108" w:type="dxa"/>
            <w:bottom w:w="0" w:type="dxa"/>
            <w:right w:w="108" w:type="dxa"/>
          </w:tblCellMar>
        </w:tblPrEx>
        <w:trPr>
          <w:trHeight w:val="1386" w:hRule="atLeast"/>
        </w:trPr>
        <w:tc>
          <w:tcPr>
            <w:tcW w:w="2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人员支出</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公用经费</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7</w:t>
            </w: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2"/>
                <w:szCs w:val="22"/>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359.1853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208</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社会保障和就业支出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383.0269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312.9189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　20801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人力资源和社会保障管理事务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335.4349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265.3269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　　2080110</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劳动关系和维权</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335.4349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265.3269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　20805</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行政事业单位养老支出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47.5920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47.5920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　　2080502</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事业单位离退休</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0.3600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0.3600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2080505</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机关事业单位基本养老保险缴费支出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31.4880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31.4880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2080506</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机关事业单位职业年金缴费支出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15.7440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15.7440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210</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卫生健康支出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21011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行政事业单位医疗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2101101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行政单位医疗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221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住房保障支出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22102</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住房改革支出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2210201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住房公积金</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Pr>
        <w:pStyle w:val="3"/>
      </w:pPr>
    </w:p>
    <w:tbl>
      <w:tblPr>
        <w:tblStyle w:val="5"/>
        <w:tblW w:w="12501" w:type="dxa"/>
        <w:tblInd w:w="93" w:type="dxa"/>
        <w:tblLayout w:type="fixed"/>
        <w:tblCellMar>
          <w:top w:w="0" w:type="dxa"/>
          <w:left w:w="108" w:type="dxa"/>
          <w:bottom w:w="0" w:type="dxa"/>
          <w:right w:w="108" w:type="dxa"/>
        </w:tblCellMar>
      </w:tblPr>
      <w:tblGrid>
        <w:gridCol w:w="3172"/>
        <w:gridCol w:w="344"/>
        <w:gridCol w:w="2475"/>
        <w:gridCol w:w="3420"/>
        <w:gridCol w:w="1697"/>
        <w:gridCol w:w="1393"/>
      </w:tblGrid>
      <w:tr>
        <w:tblPrEx>
          <w:tblCellMar>
            <w:top w:w="0" w:type="dxa"/>
            <w:left w:w="108" w:type="dxa"/>
            <w:bottom w:w="0" w:type="dxa"/>
            <w:right w:w="108" w:type="dxa"/>
          </w:tblCellMar>
        </w:tblPrEx>
        <w:trPr>
          <w:trHeight w:val="570" w:hRule="atLeast"/>
        </w:trPr>
        <w:tc>
          <w:tcPr>
            <w:tcW w:w="12501" w:type="dxa"/>
            <w:gridSpan w:val="6"/>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（四）2023年单位财政拨款收支预算总表</w:t>
            </w:r>
          </w:p>
        </w:tc>
      </w:tr>
      <w:tr>
        <w:tblPrEx>
          <w:tblCellMar>
            <w:top w:w="0" w:type="dxa"/>
            <w:left w:w="108" w:type="dxa"/>
            <w:bottom w:w="0" w:type="dxa"/>
            <w:right w:w="108" w:type="dxa"/>
          </w:tblCellMar>
        </w:tblPrEx>
        <w:trPr>
          <w:trHeight w:val="300" w:hRule="atLeast"/>
        </w:trPr>
        <w:tc>
          <w:tcPr>
            <w:tcW w:w="3516" w:type="dxa"/>
            <w:gridSpan w:val="2"/>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2475" w:type="dxa"/>
            <w:tcBorders>
              <w:top w:val="nil"/>
              <w:left w:val="nil"/>
              <w:bottom w:val="nil"/>
              <w:right w:val="nil"/>
            </w:tcBorders>
            <w:shd w:val="clear" w:color="auto" w:fill="auto"/>
            <w:noWrap/>
            <w:vAlign w:val="bottom"/>
          </w:tcPr>
          <w:p>
            <w:pPr>
              <w:rPr>
                <w:rFonts w:ascii="宋体" w:hAnsi="宋体" w:cs="宋体"/>
                <w:color w:val="000000"/>
                <w:kern w:val="2"/>
                <w:sz w:val="20"/>
              </w:rPr>
            </w:pPr>
          </w:p>
        </w:tc>
        <w:tc>
          <w:tcPr>
            <w:tcW w:w="3420" w:type="dxa"/>
            <w:tcBorders>
              <w:top w:val="nil"/>
              <w:left w:val="nil"/>
              <w:bottom w:val="nil"/>
              <w:right w:val="nil"/>
            </w:tcBorders>
            <w:shd w:val="clear" w:color="auto" w:fill="auto"/>
            <w:noWrap/>
            <w:vAlign w:val="bottom"/>
          </w:tcPr>
          <w:p>
            <w:pPr>
              <w:rPr>
                <w:rFonts w:ascii="宋体" w:hAnsi="宋体" w:cs="宋体"/>
                <w:color w:val="000000"/>
                <w:kern w:val="2"/>
                <w:sz w:val="20"/>
              </w:rPr>
            </w:pPr>
          </w:p>
        </w:tc>
        <w:tc>
          <w:tcPr>
            <w:tcW w:w="3090" w:type="dxa"/>
            <w:gridSpan w:val="2"/>
            <w:tcBorders>
              <w:top w:val="nil"/>
              <w:left w:val="nil"/>
              <w:bottom w:val="nil"/>
              <w:right w:val="nil"/>
            </w:tcBorders>
            <w:shd w:val="clear" w:color="auto" w:fill="auto"/>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495" w:hRule="atLeast"/>
        </w:trPr>
        <w:tc>
          <w:tcPr>
            <w:tcW w:w="59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收                    入</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支                    出</w:t>
            </w:r>
          </w:p>
        </w:tc>
      </w:tr>
      <w:tr>
        <w:tblPrEx>
          <w:tblCellMar>
            <w:top w:w="0" w:type="dxa"/>
            <w:left w:w="108" w:type="dxa"/>
            <w:bottom w:w="0" w:type="dxa"/>
            <w:right w:w="108" w:type="dxa"/>
          </w:tblCellMar>
        </w:tblPrEx>
        <w:trPr>
          <w:trHeight w:val="455"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       目</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预算数</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    目</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预算数</w:t>
            </w:r>
          </w:p>
        </w:tc>
      </w:tr>
      <w:tr>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一、财政拨款</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社会保障和就业支出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383.0269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一般公共预算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人力资源和社会保障管理事务</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335.4349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政府性基金预算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劳动关系和维权</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335.4349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国有资本经营预算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行政事业单位养老支出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47.5920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事业单位离退休</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0.3600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机关事业单位基本养老保险缴费支出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31.4880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机关事业单位职业年金缴费支出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15.7440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卫生健康支出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行政事业单位医疗</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行政单位医疗</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住房保障支出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住房改革支出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住房公积金</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r>
    </w:tbl>
    <w:p>
      <w:pPr>
        <w:pStyle w:val="3"/>
      </w:pPr>
    </w:p>
    <w:p/>
    <w:p>
      <w:pPr>
        <w:pStyle w:val="2"/>
        <w:rPr>
          <w:rFonts w:hint="default"/>
        </w:rPr>
      </w:pPr>
    </w:p>
    <w:p>
      <w:pPr>
        <w:pStyle w:val="2"/>
        <w:rPr>
          <w:rFonts w:hint="default"/>
        </w:rPr>
      </w:pPr>
    </w:p>
    <w:p>
      <w:pPr>
        <w:pStyle w:val="2"/>
        <w:rPr>
          <w:rFonts w:hint="default"/>
        </w:rPr>
      </w:pPr>
    </w:p>
    <w:tbl>
      <w:tblPr>
        <w:tblStyle w:val="5"/>
        <w:tblW w:w="12765" w:type="dxa"/>
        <w:tblInd w:w="93" w:type="dxa"/>
        <w:tblLayout w:type="autofit"/>
        <w:tblCellMar>
          <w:top w:w="0" w:type="dxa"/>
          <w:left w:w="108" w:type="dxa"/>
          <w:bottom w:w="0" w:type="dxa"/>
          <w:right w:w="108" w:type="dxa"/>
        </w:tblCellMar>
      </w:tblPr>
      <w:tblGrid>
        <w:gridCol w:w="3316"/>
        <w:gridCol w:w="1983"/>
        <w:gridCol w:w="1560"/>
        <w:gridCol w:w="1548"/>
        <w:gridCol w:w="12"/>
        <w:gridCol w:w="1537"/>
        <w:gridCol w:w="6"/>
        <w:gridCol w:w="1543"/>
        <w:gridCol w:w="1260"/>
      </w:tblGrid>
      <w:tr>
        <w:tblPrEx>
          <w:tblCellMar>
            <w:top w:w="0" w:type="dxa"/>
            <w:left w:w="108" w:type="dxa"/>
            <w:bottom w:w="0" w:type="dxa"/>
            <w:right w:w="108" w:type="dxa"/>
          </w:tblCellMar>
        </w:tblPrEx>
        <w:trPr>
          <w:trHeight w:val="480" w:hRule="atLeast"/>
        </w:trPr>
        <w:tc>
          <w:tcPr>
            <w:tcW w:w="12765" w:type="dxa"/>
            <w:gridSpan w:val="9"/>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（五）2023年单位一般公共预算支出表</w:t>
            </w:r>
          </w:p>
        </w:tc>
      </w:tr>
      <w:tr>
        <w:tblPrEx>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1983" w:type="dxa"/>
            <w:tcBorders>
              <w:top w:val="nil"/>
              <w:left w:val="nil"/>
              <w:bottom w:val="nil"/>
              <w:right w:val="nil"/>
            </w:tcBorders>
            <w:shd w:val="clear" w:color="auto" w:fill="auto"/>
            <w:vAlign w:val="center"/>
          </w:tcPr>
          <w:p>
            <w:pPr>
              <w:jc w:val="left"/>
              <w:rPr>
                <w:rFonts w:ascii="宋体" w:hAnsi="宋体" w:cs="宋体"/>
                <w:color w:val="000000"/>
                <w:kern w:val="2"/>
                <w:sz w:val="20"/>
              </w:rPr>
            </w:pPr>
          </w:p>
        </w:tc>
        <w:tc>
          <w:tcPr>
            <w:tcW w:w="156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560" w:type="dxa"/>
            <w:gridSpan w:val="2"/>
            <w:tcBorders>
              <w:top w:val="nil"/>
              <w:left w:val="nil"/>
              <w:bottom w:val="nil"/>
              <w:right w:val="nil"/>
            </w:tcBorders>
            <w:shd w:val="clear" w:color="auto" w:fill="auto"/>
            <w:vAlign w:val="center"/>
          </w:tcPr>
          <w:p>
            <w:pPr>
              <w:rPr>
                <w:rFonts w:ascii="宋体" w:hAnsi="宋体" w:cs="宋体"/>
                <w:color w:val="000000"/>
                <w:kern w:val="2"/>
                <w:sz w:val="20"/>
              </w:rPr>
            </w:pPr>
          </w:p>
        </w:tc>
        <w:tc>
          <w:tcPr>
            <w:tcW w:w="1543" w:type="dxa"/>
            <w:gridSpan w:val="2"/>
            <w:tcBorders>
              <w:top w:val="nil"/>
              <w:left w:val="nil"/>
              <w:bottom w:val="nil"/>
              <w:right w:val="nil"/>
            </w:tcBorders>
            <w:shd w:val="clear" w:color="auto" w:fill="auto"/>
            <w:vAlign w:val="center"/>
          </w:tcPr>
          <w:p>
            <w:pPr>
              <w:rPr>
                <w:rFonts w:ascii="宋体" w:hAnsi="宋体" w:cs="宋体"/>
                <w:color w:val="000000"/>
                <w:kern w:val="2"/>
                <w:sz w:val="20"/>
              </w:rPr>
            </w:pPr>
          </w:p>
        </w:tc>
        <w:tc>
          <w:tcPr>
            <w:tcW w:w="1543"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600" w:hRule="atLeast"/>
        </w:trPr>
        <w:tc>
          <w:tcPr>
            <w:tcW w:w="3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合  计</w:t>
            </w:r>
          </w:p>
        </w:tc>
        <w:tc>
          <w:tcPr>
            <w:tcW w:w="4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基本支出</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项目支出</w:t>
            </w:r>
          </w:p>
        </w:tc>
      </w:tr>
      <w:tr>
        <w:tblPrEx>
          <w:tblCellMar>
            <w:top w:w="0" w:type="dxa"/>
            <w:left w:w="108" w:type="dxa"/>
            <w:bottom w:w="0" w:type="dxa"/>
            <w:right w:w="108" w:type="dxa"/>
          </w:tblCellMar>
        </w:tblPrEx>
        <w:trPr>
          <w:trHeight w:val="600" w:hRule="atLeast"/>
        </w:trPr>
        <w:tc>
          <w:tcPr>
            <w:tcW w:w="3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小计</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人员经费</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公用经费</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983"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 xml:space="preserve">1 </w:t>
            </w:r>
          </w:p>
        </w:tc>
        <w:tc>
          <w:tcPr>
            <w:tcW w:w="1548"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 xml:space="preserve">2 </w:t>
            </w:r>
          </w:p>
        </w:tc>
        <w:tc>
          <w:tcPr>
            <w:tcW w:w="1549" w:type="dxa"/>
            <w:gridSpan w:val="2"/>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 xml:space="preserve">3 </w:t>
            </w:r>
          </w:p>
        </w:tc>
        <w:tc>
          <w:tcPr>
            <w:tcW w:w="1549" w:type="dxa"/>
            <w:gridSpan w:val="2"/>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 xml:space="preserve">4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 xml:space="preserve">5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kern w:val="2"/>
                <w:sz w:val="20"/>
              </w:rPr>
            </w:pP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429.2933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395.4533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359.1853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208</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社会保障和就业支出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383.0269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349.1869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312.9189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20801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人力资源和社会保障管理事务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335.4349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301.5949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265.3269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2080110</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劳动关系和维权</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335.4349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301.5949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265.3269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20805</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行政事业单位养老支出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47.5920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47.5920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47.5920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2080502</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事业单位离退休</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0.3600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0.3600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0.3600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2080505</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机关事业单位基本养老保险缴费支出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31.4880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31.4880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31.4880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2080506</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机关事业单位职业年金缴费支出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15.7440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15.7440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15.7440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210</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卫生健康支出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21011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行政事业单位医疗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2101101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行政单位医疗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14.7600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221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住房保障支出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22102</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住房改革支出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2210201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住房公积金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31.5064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Pr>
        <w:pStyle w:val="3"/>
        <w:rPr>
          <w:sz w:val="28"/>
          <w:szCs w:val="28"/>
        </w:rPr>
      </w:pPr>
    </w:p>
    <w:tbl>
      <w:tblPr>
        <w:tblStyle w:val="5"/>
        <w:tblW w:w="12741" w:type="dxa"/>
        <w:tblInd w:w="93" w:type="dxa"/>
        <w:tblLayout w:type="fixed"/>
        <w:tblCellMar>
          <w:top w:w="0" w:type="dxa"/>
          <w:left w:w="108" w:type="dxa"/>
          <w:bottom w:w="0" w:type="dxa"/>
          <w:right w:w="108" w:type="dxa"/>
        </w:tblCellMar>
      </w:tblPr>
      <w:tblGrid>
        <w:gridCol w:w="2148"/>
        <w:gridCol w:w="1368"/>
        <w:gridCol w:w="2295"/>
        <w:gridCol w:w="1980"/>
        <w:gridCol w:w="330"/>
        <w:gridCol w:w="1845"/>
        <w:gridCol w:w="465"/>
        <w:gridCol w:w="2310"/>
      </w:tblGrid>
      <w:tr>
        <w:tblPrEx>
          <w:tblCellMar>
            <w:top w:w="0" w:type="dxa"/>
            <w:left w:w="108" w:type="dxa"/>
            <w:bottom w:w="0" w:type="dxa"/>
            <w:right w:w="108" w:type="dxa"/>
          </w:tblCellMar>
        </w:tblPrEx>
        <w:trPr>
          <w:trHeight w:val="580" w:hRule="atLeast"/>
        </w:trPr>
        <w:tc>
          <w:tcPr>
            <w:tcW w:w="12741" w:type="dxa"/>
            <w:gridSpan w:val="8"/>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（六）2023年单位一般公共预算基本支出表</w:t>
            </w:r>
          </w:p>
        </w:tc>
      </w:tr>
      <w:tr>
        <w:tblPrEx>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2295" w:type="dxa"/>
            <w:tcBorders>
              <w:top w:val="nil"/>
              <w:left w:val="nil"/>
              <w:bottom w:val="nil"/>
              <w:right w:val="nil"/>
            </w:tcBorders>
            <w:shd w:val="clear" w:color="auto" w:fill="auto"/>
            <w:vAlign w:val="center"/>
          </w:tcPr>
          <w:p>
            <w:pPr>
              <w:jc w:val="left"/>
              <w:rPr>
                <w:rFonts w:ascii="宋体" w:hAnsi="宋体" w:cs="宋体"/>
                <w:color w:val="000000"/>
                <w:kern w:val="2"/>
                <w:sz w:val="20"/>
              </w:rPr>
            </w:pPr>
          </w:p>
        </w:tc>
        <w:tc>
          <w:tcPr>
            <w:tcW w:w="198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2175" w:type="dxa"/>
            <w:gridSpan w:val="2"/>
            <w:tcBorders>
              <w:top w:val="nil"/>
              <w:left w:val="nil"/>
              <w:bottom w:val="nil"/>
              <w:right w:val="nil"/>
            </w:tcBorders>
            <w:shd w:val="clear" w:color="auto" w:fill="auto"/>
            <w:vAlign w:val="center"/>
          </w:tcPr>
          <w:p>
            <w:pPr>
              <w:rPr>
                <w:rFonts w:ascii="宋体" w:hAnsi="宋体" w:cs="宋体"/>
                <w:color w:val="000000"/>
                <w:kern w:val="2"/>
                <w:sz w:val="20"/>
              </w:rPr>
            </w:pPr>
          </w:p>
        </w:tc>
        <w:tc>
          <w:tcPr>
            <w:tcW w:w="2775" w:type="dxa"/>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360" w:hRule="atLeast"/>
        </w:trPr>
        <w:tc>
          <w:tcPr>
            <w:tcW w:w="5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经济分类科目</w:t>
            </w:r>
          </w:p>
        </w:tc>
        <w:tc>
          <w:tcPr>
            <w:tcW w:w="69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本年一般公共预算基本支出</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3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合计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人员经费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公用经费</w:t>
            </w:r>
          </w:p>
        </w:tc>
      </w:tr>
      <w:tr>
        <w:trPr>
          <w:trHeight w:val="360" w:hRule="atLeast"/>
        </w:trPr>
        <w:tc>
          <w:tcPr>
            <w:tcW w:w="2148"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3663" w:type="dxa"/>
            <w:gridSpan w:val="2"/>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kern w:val="2"/>
                <w:sz w:val="20"/>
              </w:rPr>
            </w:pP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395.4533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359.1853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301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工资福利支出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358.8253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358.8253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基本工资</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52.7148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52.7148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津贴补贴</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66.1032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66.1032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30103</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奖金</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133.4153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133.4153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30106</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伙食补助费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9.6000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9.6000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30108</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机关事业单位基本养老保险缴费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31.4880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31.4880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职业年金缴费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15.7440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15.7440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30110</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职工基本医疗保险缴费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14.7600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14.7600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30112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其他社会保障缴费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0.3936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0.3936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30113</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住房公积金</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31.5064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31.5064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30199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其他工资福利支出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3.1000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3.1000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302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商品和服务支出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36.6280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0.3600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36.2680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30201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办公费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3.0000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3.0000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30207</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邮电费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0.5000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0.5000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30211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差旅费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1.0000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1.0000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30217</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公务接待费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1.2000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1.2000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30228</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工会经费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8.5000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8.5000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30229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福利费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4.2000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4.2000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30239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其他交通费用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13.8680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13.8680 </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30299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sz w:val="20"/>
                <w:lang w:bidi="ar"/>
              </w:rPr>
            </w:pPr>
            <w:r>
              <w:rPr>
                <w:rFonts w:hint="eastAsia" w:ascii="宋体" w:hAnsi="宋体" w:cs="宋体"/>
                <w:color w:val="000000"/>
                <w:sz w:val="20"/>
                <w:lang w:bidi="ar"/>
              </w:rPr>
              <w:t>　其他商品和服务支出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4.3600 </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0.3600 </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0"/>
                <w:lang w:bidi="ar"/>
              </w:rPr>
            </w:pPr>
            <w:r>
              <w:rPr>
                <w:rFonts w:hint="eastAsia" w:ascii="宋体" w:hAnsi="宋体" w:cs="宋体"/>
                <w:color w:val="000000"/>
                <w:sz w:val="20"/>
                <w:lang w:bidi="ar"/>
              </w:rPr>
              <w:t xml:space="preserve">4.0000 </w:t>
            </w:r>
          </w:p>
        </w:tc>
      </w:tr>
      <w:tr>
        <w:tblPrEx>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295" w:type="dxa"/>
            <w:tcBorders>
              <w:top w:val="nil"/>
              <w:left w:val="nil"/>
              <w:bottom w:val="nil"/>
              <w:right w:val="nil"/>
            </w:tcBorders>
            <w:shd w:val="clear" w:color="auto" w:fill="auto"/>
            <w:noWrap/>
            <w:vAlign w:val="bottom"/>
          </w:tcPr>
          <w:p>
            <w:pPr>
              <w:rPr>
                <w:rFonts w:cs="Calibri"/>
                <w:color w:val="000000"/>
                <w:kern w:val="2"/>
                <w:sz w:val="22"/>
                <w:szCs w:val="22"/>
              </w:rPr>
            </w:pPr>
          </w:p>
        </w:tc>
        <w:tc>
          <w:tcPr>
            <w:tcW w:w="198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21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7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r>
      <w:tr>
        <w:tblPrEx>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295" w:type="dxa"/>
            <w:tcBorders>
              <w:top w:val="nil"/>
              <w:left w:val="nil"/>
              <w:bottom w:val="nil"/>
              <w:right w:val="nil"/>
            </w:tcBorders>
            <w:shd w:val="clear" w:color="auto" w:fill="auto"/>
            <w:noWrap/>
            <w:vAlign w:val="bottom"/>
          </w:tcPr>
          <w:p>
            <w:pPr>
              <w:rPr>
                <w:rFonts w:cs="Calibri"/>
                <w:color w:val="000000"/>
                <w:kern w:val="2"/>
                <w:sz w:val="22"/>
                <w:szCs w:val="22"/>
              </w:rPr>
            </w:pPr>
          </w:p>
        </w:tc>
        <w:tc>
          <w:tcPr>
            <w:tcW w:w="198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21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7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r>
      <w:tr>
        <w:tblPrEx>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295" w:type="dxa"/>
            <w:tcBorders>
              <w:top w:val="nil"/>
              <w:left w:val="nil"/>
              <w:bottom w:val="nil"/>
              <w:right w:val="nil"/>
            </w:tcBorders>
            <w:shd w:val="clear" w:color="auto" w:fill="auto"/>
            <w:noWrap/>
            <w:vAlign w:val="bottom"/>
          </w:tcPr>
          <w:p>
            <w:pPr>
              <w:rPr>
                <w:rFonts w:cs="Calibri"/>
                <w:color w:val="000000"/>
                <w:kern w:val="2"/>
                <w:sz w:val="22"/>
                <w:szCs w:val="22"/>
              </w:rPr>
            </w:pPr>
          </w:p>
        </w:tc>
        <w:tc>
          <w:tcPr>
            <w:tcW w:w="198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21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7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r>
      <w:tr>
        <w:tblPrEx>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295" w:type="dxa"/>
            <w:tcBorders>
              <w:top w:val="nil"/>
              <w:left w:val="nil"/>
              <w:bottom w:val="nil"/>
              <w:right w:val="nil"/>
            </w:tcBorders>
            <w:shd w:val="clear" w:color="auto" w:fill="auto"/>
            <w:noWrap/>
            <w:vAlign w:val="bottom"/>
          </w:tcPr>
          <w:p>
            <w:pPr>
              <w:rPr>
                <w:rFonts w:cs="Calibri"/>
                <w:color w:val="000000"/>
                <w:kern w:val="2"/>
                <w:sz w:val="22"/>
                <w:szCs w:val="22"/>
              </w:rPr>
            </w:pPr>
          </w:p>
        </w:tc>
        <w:tc>
          <w:tcPr>
            <w:tcW w:w="198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21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7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r>
    </w:tbl>
    <w:p/>
    <w:p/>
    <w:p/>
    <w:p/>
    <w:tbl>
      <w:tblPr>
        <w:tblStyle w:val="5"/>
        <w:tblW w:w="12749" w:type="dxa"/>
        <w:tblInd w:w="93" w:type="dxa"/>
        <w:tblLayout w:type="autofit"/>
        <w:tblCellMar>
          <w:top w:w="0" w:type="dxa"/>
          <w:left w:w="108" w:type="dxa"/>
          <w:bottom w:w="0" w:type="dxa"/>
          <w:right w:w="108" w:type="dxa"/>
        </w:tblCellMar>
      </w:tblPr>
      <w:tblGrid>
        <w:gridCol w:w="3504"/>
        <w:gridCol w:w="1540"/>
        <w:gridCol w:w="1540"/>
        <w:gridCol w:w="566"/>
        <w:gridCol w:w="479"/>
        <w:gridCol w:w="495"/>
        <w:gridCol w:w="479"/>
        <w:gridCol w:w="479"/>
        <w:gridCol w:w="582"/>
        <w:gridCol w:w="1643"/>
        <w:gridCol w:w="1080"/>
        <w:gridCol w:w="460"/>
      </w:tblGrid>
      <w:tr>
        <w:tblPrEx>
          <w:tblCellMar>
            <w:top w:w="0" w:type="dxa"/>
            <w:left w:w="108" w:type="dxa"/>
            <w:bottom w:w="0" w:type="dxa"/>
            <w:right w:w="108" w:type="dxa"/>
          </w:tblCellMar>
        </w:tblPrEx>
        <w:trPr>
          <w:gridAfter w:val="1"/>
          <w:wAfter w:w="461" w:type="dxa"/>
          <w:trHeight w:val="690" w:hRule="atLeast"/>
        </w:trPr>
        <w:tc>
          <w:tcPr>
            <w:tcW w:w="12165" w:type="dxa"/>
            <w:gridSpan w:val="11"/>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sz w:val="44"/>
                <w:szCs w:val="44"/>
                <w:lang w:bidi="ar"/>
              </w:rPr>
            </w:pPr>
          </w:p>
          <w:p>
            <w:pPr>
              <w:pStyle w:val="3"/>
              <w:rPr>
                <w:kern w:val="2"/>
                <w:szCs w:val="22"/>
              </w:rPr>
            </w:pPr>
          </w:p>
          <w:p>
            <w:pPr>
              <w:rPr>
                <w:kern w:val="2"/>
                <w:szCs w:val="2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（七）2023年单位一般公共预算"三公"经费支出表</w:t>
            </w:r>
          </w:p>
        </w:tc>
      </w:tr>
      <w:tr>
        <w:tblPrEx>
          <w:tblCellMar>
            <w:top w:w="0" w:type="dxa"/>
            <w:left w:w="108" w:type="dxa"/>
            <w:bottom w:w="0" w:type="dxa"/>
            <w:right w:w="108" w:type="dxa"/>
          </w:tblCellMar>
        </w:tblPrEx>
        <w:trPr>
          <w:gridAfter w:val="1"/>
          <w:wAfter w:w="461" w:type="dxa"/>
          <w:trHeight w:val="390" w:hRule="atLeast"/>
        </w:trPr>
        <w:tc>
          <w:tcPr>
            <w:tcW w:w="7150" w:type="dxa"/>
            <w:gridSpan w:val="4"/>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479" w:type="dxa"/>
            <w:tcBorders>
              <w:top w:val="nil"/>
              <w:left w:val="nil"/>
              <w:bottom w:val="nil"/>
              <w:right w:val="nil"/>
            </w:tcBorders>
            <w:shd w:val="clear" w:color="auto" w:fill="auto"/>
            <w:noWrap/>
            <w:vAlign w:val="center"/>
          </w:tcPr>
          <w:p>
            <w:pPr>
              <w:jc w:val="center"/>
              <w:rPr>
                <w:rFonts w:ascii="宋体" w:hAnsi="宋体" w:cs="宋体"/>
                <w:b/>
                <w:bCs/>
                <w:color w:val="000000"/>
                <w:kern w:val="2"/>
                <w:sz w:val="20"/>
              </w:rPr>
            </w:pPr>
          </w:p>
        </w:tc>
        <w:tc>
          <w:tcPr>
            <w:tcW w:w="479" w:type="dxa"/>
            <w:tcBorders>
              <w:top w:val="nil"/>
              <w:left w:val="nil"/>
              <w:bottom w:val="nil"/>
              <w:right w:val="nil"/>
            </w:tcBorders>
            <w:shd w:val="clear" w:color="auto" w:fill="auto"/>
            <w:noWrap/>
            <w:vAlign w:val="center"/>
          </w:tcPr>
          <w:p>
            <w:pPr>
              <w:jc w:val="center"/>
              <w:rPr>
                <w:rFonts w:ascii="宋体" w:hAnsi="宋体" w:cs="宋体"/>
                <w:b/>
                <w:bCs/>
                <w:color w:val="000000"/>
                <w:kern w:val="2"/>
                <w:sz w:val="20"/>
              </w:rPr>
            </w:pPr>
          </w:p>
        </w:tc>
        <w:tc>
          <w:tcPr>
            <w:tcW w:w="479" w:type="dxa"/>
            <w:tcBorders>
              <w:top w:val="nil"/>
              <w:left w:val="nil"/>
              <w:bottom w:val="nil"/>
              <w:right w:val="nil"/>
            </w:tcBorders>
            <w:shd w:val="clear" w:color="auto" w:fill="auto"/>
            <w:noWrap/>
            <w:vAlign w:val="center"/>
          </w:tcPr>
          <w:p>
            <w:pPr>
              <w:jc w:val="center"/>
              <w:rPr>
                <w:rFonts w:ascii="宋体" w:hAnsi="宋体" w:cs="宋体"/>
                <w:b/>
                <w:bCs/>
                <w:color w:val="000000"/>
                <w:kern w:val="2"/>
                <w:sz w:val="20"/>
              </w:rPr>
            </w:pPr>
          </w:p>
        </w:tc>
        <w:tc>
          <w:tcPr>
            <w:tcW w:w="479" w:type="dxa"/>
            <w:tcBorders>
              <w:top w:val="nil"/>
              <w:left w:val="nil"/>
              <w:bottom w:val="nil"/>
              <w:right w:val="nil"/>
            </w:tcBorders>
            <w:shd w:val="clear" w:color="auto" w:fill="auto"/>
            <w:noWrap/>
            <w:vAlign w:val="center"/>
          </w:tcPr>
          <w:p>
            <w:pPr>
              <w:jc w:val="center"/>
              <w:rPr>
                <w:rFonts w:ascii="宋体" w:hAnsi="宋体" w:cs="宋体"/>
                <w:b/>
                <w:bCs/>
                <w:color w:val="000000"/>
                <w:kern w:val="2"/>
                <w:sz w:val="20"/>
              </w:rPr>
            </w:pPr>
          </w:p>
        </w:tc>
        <w:tc>
          <w:tcPr>
            <w:tcW w:w="479" w:type="dxa"/>
            <w:tcBorders>
              <w:top w:val="nil"/>
              <w:left w:val="nil"/>
              <w:bottom w:val="nil"/>
              <w:right w:val="nil"/>
            </w:tcBorders>
            <w:shd w:val="clear" w:color="auto" w:fill="auto"/>
            <w:noWrap/>
            <w:vAlign w:val="bottom"/>
          </w:tcPr>
          <w:p>
            <w:pPr>
              <w:rPr>
                <w:rFonts w:ascii="宋体" w:hAnsi="宋体" w:cs="宋体"/>
                <w:color w:val="000000"/>
                <w:kern w:val="2"/>
                <w:sz w:val="20"/>
              </w:rPr>
            </w:pPr>
          </w:p>
        </w:tc>
        <w:tc>
          <w:tcPr>
            <w:tcW w:w="2620" w:type="dxa"/>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600" w:hRule="atLeast"/>
        </w:trPr>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单位名称</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“三公”经费合计</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因公出国(境)费用</w:t>
            </w:r>
          </w:p>
        </w:tc>
        <w:tc>
          <w:tcPr>
            <w:tcW w:w="46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公务用车购置及运行费</w:t>
            </w:r>
          </w:p>
        </w:tc>
        <w:tc>
          <w:tcPr>
            <w:tcW w:w="15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公务接待费</w:t>
            </w:r>
          </w:p>
        </w:tc>
      </w:tr>
      <w:tr>
        <w:tblPrEx>
          <w:tblCellMar>
            <w:top w:w="0" w:type="dxa"/>
            <w:left w:w="108" w:type="dxa"/>
            <w:bottom w:w="0" w:type="dxa"/>
            <w:right w:w="108" w:type="dxa"/>
          </w:tblCellMar>
        </w:tblPrEx>
        <w:trPr>
          <w:trHeight w:val="600" w:hRule="atLeast"/>
        </w:trPr>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小计</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公务用车购置费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公务用车运行维护费</w:t>
            </w:r>
          </w:p>
        </w:tc>
        <w:tc>
          <w:tcPr>
            <w:tcW w:w="15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6</w:t>
            </w:r>
          </w:p>
        </w:tc>
      </w:tr>
      <w:tr>
        <w:tblPrEx>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1.2000</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1.2000</w:t>
            </w:r>
          </w:p>
        </w:tc>
      </w:tr>
      <w:tr>
        <w:tblPrEx>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兰溪市劳动人事争议仲裁院</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1.2000</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1.2000</w:t>
            </w:r>
          </w:p>
        </w:tc>
      </w:tr>
    </w:tbl>
    <w:p/>
    <w:p/>
    <w:p>
      <w:pPr>
        <w:pStyle w:val="3"/>
      </w:pPr>
      <w:r>
        <w:t>注：不含教学科研人员学术交流因公出国（境）费用</w:t>
      </w:r>
    </w:p>
    <w:p/>
    <w:p>
      <w:pPr>
        <w:pStyle w:val="3"/>
      </w:pPr>
    </w:p>
    <w:p/>
    <w:tbl>
      <w:tblPr>
        <w:tblStyle w:val="5"/>
        <w:tblW w:w="14331" w:type="dxa"/>
        <w:tblInd w:w="93" w:type="dxa"/>
        <w:tblLayout w:type="fixed"/>
        <w:tblCellMar>
          <w:top w:w="0" w:type="dxa"/>
          <w:left w:w="108" w:type="dxa"/>
          <w:bottom w:w="0" w:type="dxa"/>
          <w:right w:w="108" w:type="dxa"/>
        </w:tblCellMar>
      </w:tblPr>
      <w:tblGrid>
        <w:gridCol w:w="3711"/>
        <w:gridCol w:w="2430"/>
        <w:gridCol w:w="2760"/>
        <w:gridCol w:w="2565"/>
        <w:gridCol w:w="2865"/>
      </w:tblGrid>
      <w:tr>
        <w:tblPrEx>
          <w:tblCellMar>
            <w:top w:w="0" w:type="dxa"/>
            <w:left w:w="108" w:type="dxa"/>
            <w:bottom w:w="0" w:type="dxa"/>
            <w:right w:w="108" w:type="dxa"/>
          </w:tblCellMar>
        </w:tblPrEx>
        <w:trPr>
          <w:trHeight w:val="615" w:hRule="atLeast"/>
        </w:trPr>
        <w:tc>
          <w:tcPr>
            <w:tcW w:w="14331" w:type="dxa"/>
            <w:gridSpan w:val="5"/>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（八）2023年单位政府性基金预算支出表</w:t>
            </w:r>
          </w:p>
        </w:tc>
      </w:tr>
      <w:tr>
        <w:tblPrEx>
          <w:tblCellMar>
            <w:top w:w="0" w:type="dxa"/>
            <w:left w:w="108" w:type="dxa"/>
            <w:bottom w:w="0" w:type="dxa"/>
            <w:right w:w="108" w:type="dxa"/>
          </w:tblCellMar>
        </w:tblPrEx>
        <w:trPr>
          <w:trHeight w:val="390" w:hRule="atLeast"/>
        </w:trPr>
        <w:tc>
          <w:tcPr>
            <w:tcW w:w="3711" w:type="dxa"/>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2430" w:type="dxa"/>
            <w:tcBorders>
              <w:top w:val="nil"/>
              <w:left w:val="nil"/>
              <w:bottom w:val="nil"/>
              <w:right w:val="nil"/>
            </w:tcBorders>
            <w:shd w:val="clear" w:color="auto" w:fill="auto"/>
            <w:vAlign w:val="center"/>
          </w:tcPr>
          <w:p>
            <w:pPr>
              <w:jc w:val="left"/>
              <w:rPr>
                <w:rFonts w:ascii="宋体" w:hAnsi="宋体" w:cs="宋体"/>
                <w:color w:val="000000"/>
                <w:kern w:val="2"/>
                <w:sz w:val="20"/>
              </w:rPr>
            </w:pPr>
          </w:p>
        </w:tc>
        <w:tc>
          <w:tcPr>
            <w:tcW w:w="276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2565"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2865" w:type="dxa"/>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450" w:hRule="atLeast"/>
        </w:trPr>
        <w:tc>
          <w:tcPr>
            <w:tcW w:w="3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8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本年政府性基金预算支出</w:t>
            </w:r>
          </w:p>
        </w:tc>
      </w:tr>
      <w:tr>
        <w:tblPrEx>
          <w:tblCellMar>
            <w:top w:w="0" w:type="dxa"/>
            <w:left w:w="108" w:type="dxa"/>
            <w:bottom w:w="0" w:type="dxa"/>
            <w:right w:w="108" w:type="dxa"/>
          </w:tblCellMar>
        </w:tblPrEx>
        <w:trPr>
          <w:trHeight w:val="600" w:hRule="atLeast"/>
        </w:trPr>
        <w:tc>
          <w:tcPr>
            <w:tcW w:w="3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合  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基本支出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项目支出</w:t>
            </w:r>
          </w:p>
        </w:tc>
      </w:tr>
      <w:tr>
        <w:tblPrEx>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243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r>
      <w:tr>
        <w:tblPrEx>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kern w:val="2"/>
                <w:sz w:val="20"/>
              </w:rPr>
            </w:pPr>
          </w:p>
        </w:tc>
        <w:tc>
          <w:tcPr>
            <w:tcW w:w="2430"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276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ascii="宋体" w:hAnsi="宋体" w:cs="宋体"/>
                <w:color w:val="000000"/>
                <w:kern w:val="2"/>
                <w:sz w:val="20"/>
              </w:rPr>
            </w:pPr>
          </w:p>
        </w:tc>
        <w:tc>
          <w:tcPr>
            <w:tcW w:w="2565"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ascii="宋体" w:hAnsi="宋体" w:cs="宋体"/>
                <w:color w:val="000000"/>
                <w:kern w:val="2"/>
                <w:sz w:val="20"/>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Pr>
        <w:pStyle w:val="3"/>
      </w:pPr>
    </w:p>
    <w:tbl>
      <w:tblPr>
        <w:tblStyle w:val="5"/>
        <w:tblpPr w:leftFromText="180" w:rightFromText="180" w:vertAnchor="text" w:horzAnchor="page" w:tblpX="1911" w:tblpY="99"/>
        <w:tblOverlap w:val="never"/>
        <w:tblW w:w="14316" w:type="dxa"/>
        <w:tblInd w:w="0" w:type="dxa"/>
        <w:tblLayout w:type="fixed"/>
        <w:tblCellMar>
          <w:top w:w="0" w:type="dxa"/>
          <w:left w:w="108" w:type="dxa"/>
          <w:bottom w:w="0" w:type="dxa"/>
          <w:right w:w="108" w:type="dxa"/>
        </w:tblCellMar>
      </w:tblPr>
      <w:tblGrid>
        <w:gridCol w:w="5826"/>
        <w:gridCol w:w="4290"/>
        <w:gridCol w:w="4200"/>
      </w:tblGrid>
      <w:tr>
        <w:tblPrEx>
          <w:tblCellMar>
            <w:top w:w="0" w:type="dxa"/>
            <w:left w:w="108" w:type="dxa"/>
            <w:bottom w:w="0" w:type="dxa"/>
            <w:right w:w="108" w:type="dxa"/>
          </w:tblCellMar>
        </w:tblPrEx>
        <w:trPr>
          <w:trHeight w:val="570" w:hRule="atLeast"/>
        </w:trPr>
        <w:tc>
          <w:tcPr>
            <w:tcW w:w="14316" w:type="dxa"/>
            <w:gridSpan w:val="3"/>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（九）2023年单位国有资本经营预算支出表</w:t>
            </w:r>
          </w:p>
        </w:tc>
      </w:tr>
      <w:tr>
        <w:tblPrEx>
          <w:tblCellMar>
            <w:top w:w="0" w:type="dxa"/>
            <w:left w:w="108" w:type="dxa"/>
            <w:bottom w:w="0" w:type="dxa"/>
            <w:right w:w="108" w:type="dxa"/>
          </w:tblCellMar>
        </w:tblPrEx>
        <w:trPr>
          <w:trHeight w:val="390" w:hRule="atLeast"/>
        </w:trPr>
        <w:tc>
          <w:tcPr>
            <w:tcW w:w="5826" w:type="dxa"/>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4290" w:type="dxa"/>
            <w:tcBorders>
              <w:top w:val="nil"/>
              <w:left w:val="nil"/>
              <w:bottom w:val="single" w:color="000000" w:sz="4" w:space="0"/>
              <w:right w:val="nil"/>
            </w:tcBorders>
            <w:shd w:val="clear" w:color="auto" w:fill="auto"/>
            <w:noWrap/>
            <w:vAlign w:val="bottom"/>
          </w:tcPr>
          <w:p>
            <w:pPr>
              <w:rPr>
                <w:rFonts w:ascii="宋体" w:hAnsi="宋体" w:cs="宋体"/>
                <w:color w:val="000000"/>
                <w:kern w:val="2"/>
                <w:sz w:val="20"/>
              </w:rPr>
            </w:pPr>
          </w:p>
        </w:tc>
        <w:tc>
          <w:tcPr>
            <w:tcW w:w="4200" w:type="dxa"/>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312" w:hRule="atLeast"/>
        </w:trPr>
        <w:tc>
          <w:tcPr>
            <w:tcW w:w="58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项目支出</w:t>
            </w:r>
          </w:p>
        </w:tc>
      </w:tr>
      <w:tr>
        <w:tblPrEx>
          <w:tblCellMar>
            <w:top w:w="0" w:type="dxa"/>
            <w:left w:w="108" w:type="dxa"/>
            <w:bottom w:w="0" w:type="dxa"/>
            <w:right w:w="108" w:type="dxa"/>
          </w:tblCellMar>
        </w:tblPrEx>
        <w:trPr>
          <w:trHeight w:val="312" w:hRule="atLeast"/>
        </w:trPr>
        <w:tc>
          <w:tcPr>
            <w:tcW w:w="58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kern w:val="2"/>
                <w:sz w:val="20"/>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kern w:val="2"/>
                <w:sz w:val="20"/>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r>
      <w:tr>
        <w:tblPrEx>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2"/>
                <w:sz w:val="20"/>
              </w:rPr>
            </w:pP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pPr w:leftFromText="180" w:rightFromText="180" w:vertAnchor="text" w:horzAnchor="page" w:tblpX="1746" w:tblpY="31"/>
        <w:tblOverlap w:val="never"/>
        <w:tblW w:w="14415" w:type="dxa"/>
        <w:tblInd w:w="0" w:type="dxa"/>
        <w:tblLayout w:type="autofit"/>
        <w:tblCellMar>
          <w:top w:w="0" w:type="dxa"/>
          <w:left w:w="108" w:type="dxa"/>
          <w:bottom w:w="0" w:type="dxa"/>
          <w:right w:w="108" w:type="dxa"/>
        </w:tblCellMar>
      </w:tblPr>
      <w:tblGrid>
        <w:gridCol w:w="3945"/>
        <w:gridCol w:w="3239"/>
        <w:gridCol w:w="1665"/>
        <w:gridCol w:w="1755"/>
        <w:gridCol w:w="825"/>
        <w:gridCol w:w="915"/>
        <w:gridCol w:w="855"/>
        <w:gridCol w:w="1216"/>
      </w:tblGrid>
      <w:tr>
        <w:tblPrEx>
          <w:tblCellMar>
            <w:top w:w="0" w:type="dxa"/>
            <w:left w:w="108" w:type="dxa"/>
            <w:bottom w:w="0" w:type="dxa"/>
            <w:right w:w="108" w:type="dxa"/>
          </w:tblCellMar>
        </w:tblPrEx>
        <w:trPr>
          <w:trHeight w:val="600" w:hRule="atLeast"/>
        </w:trPr>
        <w:tc>
          <w:tcPr>
            <w:tcW w:w="14415" w:type="dxa"/>
            <w:gridSpan w:val="8"/>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（十）2023年单位项目支出预算表</w:t>
            </w:r>
          </w:p>
        </w:tc>
      </w:tr>
      <w:tr>
        <w:tblPrEx>
          <w:tblCellMar>
            <w:top w:w="0" w:type="dxa"/>
            <w:left w:w="108" w:type="dxa"/>
            <w:bottom w:w="0" w:type="dxa"/>
            <w:right w:w="108" w:type="dxa"/>
          </w:tblCellMar>
        </w:tblPrEx>
        <w:trPr>
          <w:trHeight w:val="390" w:hRule="atLeast"/>
        </w:trPr>
        <w:tc>
          <w:tcPr>
            <w:tcW w:w="3945" w:type="dxa"/>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3239"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166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175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82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91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85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1216" w:type="dxa"/>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390" w:hRule="atLeast"/>
        </w:trPr>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单位名称</w:t>
            </w:r>
          </w:p>
        </w:tc>
        <w:tc>
          <w:tcPr>
            <w:tcW w:w="3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政府性基金</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国有资本经营预算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财政专户管理资金</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单位资金</w:t>
            </w:r>
          </w:p>
        </w:tc>
      </w:tr>
      <w:tr>
        <w:tblPrEx>
          <w:tblCellMar>
            <w:top w:w="0" w:type="dxa"/>
            <w:left w:w="108" w:type="dxa"/>
            <w:bottom w:w="0" w:type="dxa"/>
            <w:right w:w="108" w:type="dxa"/>
          </w:tblCellMar>
        </w:tblPrEx>
        <w:trPr>
          <w:trHeight w:val="39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3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60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3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3239"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85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c>
          <w:tcPr>
            <w:tcW w:w="1216"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6</w:t>
            </w:r>
          </w:p>
        </w:tc>
      </w:tr>
      <w:tr>
        <w:tblPrEx>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jc w:val="left"/>
              <w:rPr>
                <w:rFonts w:ascii="宋体" w:hAnsi="宋体" w:cs="宋体"/>
                <w:color w:val="000000"/>
                <w:kern w:val="2"/>
                <w:sz w:val="20"/>
              </w:rPr>
            </w:pPr>
          </w:p>
        </w:tc>
        <w:tc>
          <w:tcPr>
            <w:tcW w:w="3239"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兰溪市劳动人事争议仲裁院</w:t>
            </w:r>
          </w:p>
        </w:tc>
        <w:tc>
          <w:tcPr>
            <w:tcW w:w="3239"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劳动关系和维权</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33.8400 </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
    <w:p>
      <w:pPr>
        <w:pStyle w:val="3"/>
      </w:pPr>
    </w:p>
    <w:p/>
    <w:p>
      <w:pPr>
        <w:pStyle w:val="3"/>
        <w:sectPr>
          <w:pgSz w:w="16838" w:h="11906" w:orient="landscape"/>
          <w:pgMar w:top="1587" w:right="1701" w:bottom="1587" w:left="1701" w:header="851" w:footer="1077" w:gutter="0"/>
          <w:pgNumType w:fmt="numberInDash"/>
          <w:cols w:space="720" w:num="1"/>
          <w:docGrid w:type="lines" w:linePitch="312" w:charSpace="0"/>
        </w:sectPr>
      </w:pPr>
    </w:p>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2A2287"/>
    <w:rsid w:val="00416E19"/>
    <w:rsid w:val="00450894"/>
    <w:rsid w:val="004A760F"/>
    <w:rsid w:val="006F4DD5"/>
    <w:rsid w:val="00867CE2"/>
    <w:rsid w:val="00A03567"/>
    <w:rsid w:val="00A44662"/>
    <w:rsid w:val="012D55B7"/>
    <w:rsid w:val="01F02344"/>
    <w:rsid w:val="05026850"/>
    <w:rsid w:val="056D3576"/>
    <w:rsid w:val="05E256B5"/>
    <w:rsid w:val="063F6FB5"/>
    <w:rsid w:val="06783AC4"/>
    <w:rsid w:val="08AF427B"/>
    <w:rsid w:val="092A2287"/>
    <w:rsid w:val="0D5E2322"/>
    <w:rsid w:val="0E8C67C5"/>
    <w:rsid w:val="15727896"/>
    <w:rsid w:val="16CA1759"/>
    <w:rsid w:val="17A600E6"/>
    <w:rsid w:val="19A9171D"/>
    <w:rsid w:val="1E105853"/>
    <w:rsid w:val="1F5256A3"/>
    <w:rsid w:val="20807B59"/>
    <w:rsid w:val="21856152"/>
    <w:rsid w:val="245C222E"/>
    <w:rsid w:val="258F3D90"/>
    <w:rsid w:val="2D4505BC"/>
    <w:rsid w:val="2F9F6001"/>
    <w:rsid w:val="36CD5E97"/>
    <w:rsid w:val="37505171"/>
    <w:rsid w:val="37BF7959"/>
    <w:rsid w:val="3ABC647F"/>
    <w:rsid w:val="468C79ED"/>
    <w:rsid w:val="48B65B6A"/>
    <w:rsid w:val="4A504E51"/>
    <w:rsid w:val="4D4569AB"/>
    <w:rsid w:val="4D7C1C91"/>
    <w:rsid w:val="4E396891"/>
    <w:rsid w:val="4FDB00B1"/>
    <w:rsid w:val="502318C8"/>
    <w:rsid w:val="50BA64F2"/>
    <w:rsid w:val="54063266"/>
    <w:rsid w:val="5A3C3E50"/>
    <w:rsid w:val="5AF85751"/>
    <w:rsid w:val="5B4402BB"/>
    <w:rsid w:val="5FD006E5"/>
    <w:rsid w:val="739677FC"/>
    <w:rsid w:val="769D3C16"/>
    <w:rsid w:val="7EC70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link w:val="11"/>
    <w:semiHidden/>
    <w:unhideWhenUsed/>
    <w:qFormat/>
    <w:uiPriority w:val="0"/>
    <w:pPr>
      <w:keepNext/>
      <w:keepLines/>
      <w:spacing w:before="260" w:after="260" w:line="413" w:lineRule="auto"/>
      <w:outlineLvl w:val="2"/>
    </w:pPr>
    <w:rPr>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Strong"/>
    <w:basedOn w:val="6"/>
    <w:qFormat/>
    <w:uiPriority w:val="0"/>
    <w:rPr>
      <w:b/>
      <w:bCs/>
    </w:rPr>
  </w:style>
  <w:style w:type="character" w:styleId="8">
    <w:name w:val="page number"/>
    <w:basedOn w:val="6"/>
    <w:qFormat/>
    <w:uiPriority w:val="0"/>
  </w:style>
  <w:style w:type="paragraph" w:customStyle="1" w:styleId="9">
    <w:name w:val="Char"/>
    <w:basedOn w:val="1"/>
    <w:qFormat/>
    <w:uiPriority w:val="0"/>
    <w:rPr>
      <w:szCs w:val="24"/>
    </w:rPr>
  </w:style>
  <w:style w:type="paragraph" w:customStyle="1" w:styleId="10">
    <w:name w:val="p0"/>
    <w:basedOn w:val="1"/>
    <w:qFormat/>
    <w:uiPriority w:val="0"/>
    <w:rPr>
      <w:szCs w:val="21"/>
    </w:rPr>
  </w:style>
  <w:style w:type="character" w:customStyle="1" w:styleId="11">
    <w:name w:val="标题 3 字符"/>
    <w:basedOn w:val="6"/>
    <w:link w:val="3"/>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1471</Words>
  <Characters>8386</Characters>
  <Lines>69</Lines>
  <Paragraphs>19</Paragraphs>
  <TotalTime>9</TotalTime>
  <ScaleCrop>false</ScaleCrop>
  <LinksUpToDate>false</LinksUpToDate>
  <CharactersWithSpaces>9838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2024-02-26T03:08:00Z</dcterms:created>
  <dc:creator>陈慧倩</dc:creator>
  <cp:lastModifiedBy>匿名用户</cp:lastModifiedBy>
  <dcterms:modified xsi:type="dcterms:W3CDTF">2024-02-27T03:43:47Z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