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41"/>
        <w:jc w:val="center"/>
        <w:rPr>
          <w:rFonts w:hint="default" w:ascii="宋体" w:hAnsi="宋体" w:eastAsia="宋体"/>
          <w:b/>
          <w:kern w:val="0"/>
          <w:sz w:val="40"/>
          <w:szCs w:val="32"/>
          <w:lang w:val="en-US" w:eastAsia="zh-CN"/>
        </w:rPr>
      </w:pPr>
      <w:r>
        <w:rPr>
          <w:rFonts w:hint="eastAsia" w:ascii="宋体" w:hAnsi="宋体"/>
          <w:b/>
          <w:kern w:val="0"/>
          <w:sz w:val="40"/>
          <w:szCs w:val="32"/>
          <w:lang w:val="en-US" w:eastAsia="zh-CN"/>
        </w:rPr>
        <w:t>关于《兰溪市农村集体建设用地使用权入股、联营工作实施意见》的起草说明</w:t>
      </w:r>
    </w:p>
    <w:p>
      <w:pPr>
        <w:spacing w:line="600" w:lineRule="exact"/>
        <w:ind w:firstLine="66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一、基本情况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根据《中华人民共和国土地管理法》《中华人民共和国乡镇企业法》等法律法规，结合兰溪实际，制定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《兰溪市农村集体建设用地使用权入股、联营工作实施意见》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6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解决的主要问题</w:t>
      </w:r>
    </w:p>
    <w:p>
      <w:pPr>
        <w:spacing w:after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规范村级集体经济组织以集体建设用地使用权入股、联营等形式与其他单位共同举办企业行为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进一步补齐国土空间规划划定的城镇开发边界线外集体建设用地供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应方式，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有效保障乡村振兴等项目用地需求。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由设定依据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使用范围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一般规定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使用程序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等五项内容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现将主要内容汇报如下：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设定依据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《中华人民共和国土地管理法》第五十九条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六十条及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《中华人民共和国乡镇企业法》第二条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第十条相关规定为设定依据。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使用范围，共4条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除近年上级出台的《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"http://mp.weixin.qq.com/s?__biz=MzIzMjUzNzI3OQ==&amp;mid=2247504866&amp;idx=6&amp;sn=7fa64eef7432f616f7d47303626e33a2&amp;chksm=e891fe32dfe67724bc95341f0a331a8c34fc0970e2226832736937db6dda8a2e586f5aae0ed5&amp;scene=21" \l "wechat_redirect" \t "_blank"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关于加强规划和用地保障支持养老服务发展的指导意见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》等4个文件规定的养老服务设施用地、农村一二三产业融合发展用地、采矿用地、保障性租赁住房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其他项目暂时不允许采取入股、联营的方式共同举办企业。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（三）一般规定，共5条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重点对使用条件、用地标准、登记注册公司要求、共同举办企业的行业主管部门要求及其他方面作出规定。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（四）使用程序，共6条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以集体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建设用地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使用权入股、联营等形式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共同举办企业所涉及的所有权登记、使用权价格评估、村级民主决策、项目立项、土地供应、土地使用权收回等程序作出规定。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（五）申请材料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规定所需材料、数量和出具单位，并提出相关要求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</w:t>
      </w:r>
      <w:r>
        <w:rPr>
          <w:rFonts w:hint="default"/>
          <w:lang w:val="en-US" w:eastAsia="zh-CN"/>
        </w:rPr>
        <w:t>、评估论证、公平竞争审查、征求意见及协调处理等情况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4中旬-5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及向上沟通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基础上，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根据上级有关文件精神草拟了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兰溪市农村集体建设用地使用权入股、联营工作实施意见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（以下简称《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》）初稿。5月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先后3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次召集部门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召开协调会议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我局根据相关单位意见对初稿进行修改完善并于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5月26日完成网上征求意见。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</w:t>
      </w:r>
      <w:r>
        <w:rPr>
          <w:rFonts w:hint="default"/>
          <w:lang w:val="en-US" w:eastAsia="zh-CN"/>
        </w:rPr>
        <w:t>、其他需要说明的情况</w:t>
      </w:r>
    </w:p>
    <w:p>
      <w:pPr>
        <w:pStyle w:val="3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无。</w:t>
      </w: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eastAsia="zh-CN"/>
        </w:rPr>
      </w:pPr>
    </w:p>
    <w:p>
      <w:pPr>
        <w:pStyle w:val="3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42226"/>
    <w:multiLevelType w:val="singleLevel"/>
    <w:tmpl w:val="C2E4222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81026"/>
    <w:rsid w:val="2E110F03"/>
    <w:rsid w:val="702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CESI仿宋-GB2312"/>
      <w:b/>
      <w:kern w:val="44"/>
      <w:sz w:val="32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2023-10-26T08:27:00Z</dcterms:created>
  <dc:creator>a</dc:creator>
  <cp:lastModifiedBy>a</cp:lastModifiedBy>
  <dcterms:modified xsi:type="dcterms:W3CDTF">2023-10-26T09:39:18Z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