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rPr>
          <w:rFonts w:ascii="仿宋_GB2312" w:hAnsi="仿宋_GB2312" w:eastAsia="仿宋_GB2312" w:cs="仿宋_GB2312"/>
          <w:bCs/>
          <w:spacing w:val="15"/>
          <w:sz w:val="32"/>
          <w:szCs w:val="32"/>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r>
        <w:rPr>
          <w:rFonts w:hint="eastAsia" w:ascii="方正小标宋简体" w:hAnsi="方正小标宋简体" w:eastAsia="方正小标宋简体" w:cs="方正小标宋简体"/>
          <w:b/>
          <w:spacing w:val="15"/>
          <w:sz w:val="44"/>
          <w:szCs w:val="44"/>
        </w:rPr>
        <w:t>兰溪市乡镇建设处2022年部门预算</w:t>
      </w: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overflowPunct/>
        <w:autoSpaceDE/>
        <w:autoSpaceDN/>
        <w:adjustRightInd/>
        <w:spacing w:line="560" w:lineRule="exact"/>
        <w:textAlignment w:val="auto"/>
        <w:rPr>
          <w:rStyle w:val="7"/>
          <w:rFonts w:ascii="仿宋_GB2312" w:hAnsi="仿宋_GB2312" w:eastAsia="仿宋_GB2312" w:cs="仿宋_GB2312"/>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20" w:lineRule="exact"/>
        <w:ind w:firstLine="627" w:firstLineChars="196"/>
        <w:jc w:val="center"/>
        <w:textAlignment w:val="auto"/>
        <w:rPr>
          <w:rStyle w:val="7"/>
          <w:rFonts w:ascii="黑体" w:eastAsia="黑体"/>
          <w:b w:val="0"/>
          <w:color w:val="000000"/>
          <w:sz w:val="32"/>
          <w:szCs w:val="32"/>
        </w:rPr>
      </w:pPr>
      <w:r>
        <w:rPr>
          <w:rStyle w:val="7"/>
          <w:rFonts w:hint="eastAsia" w:ascii="黑体" w:eastAsia="黑体"/>
          <w:b w:val="0"/>
          <w:color w:val="000000"/>
          <w:sz w:val="32"/>
          <w:szCs w:val="32"/>
        </w:rPr>
        <w:t>目录</w:t>
      </w:r>
    </w:p>
    <w:p>
      <w:pPr>
        <w:overflowPunct/>
        <w:autoSpaceDE/>
        <w:autoSpaceDN/>
        <w:adjustRightInd/>
        <w:spacing w:line="520" w:lineRule="exact"/>
        <w:textAlignment w:val="auto"/>
        <w:rPr>
          <w:rFonts w:ascii="Times New Roman" w:hAnsi="Times New Roman" w:eastAsia="黑体"/>
          <w:sz w:val="32"/>
        </w:rPr>
      </w:pPr>
      <w:r>
        <w:rPr>
          <w:rFonts w:hint="eastAsia" w:ascii="黑体" w:eastAsia="黑体"/>
          <w:color w:val="000000"/>
          <w:sz w:val="32"/>
        </w:rPr>
        <w:t>一、</w:t>
      </w:r>
      <w:r>
        <w:rPr>
          <w:rStyle w:val="7"/>
          <w:rFonts w:hint="eastAsia" w:ascii="黑体" w:eastAsia="黑体"/>
          <w:b w:val="0"/>
          <w:color w:val="000000"/>
          <w:sz w:val="32"/>
          <w:szCs w:val="32"/>
        </w:rPr>
        <w:t>部门（单位）概况</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rPr>
          <w:rStyle w:val="7"/>
          <w:b w:val="0"/>
          <w:bCs w:val="0"/>
        </w:rPr>
      </w:pPr>
      <w:r>
        <w:rPr>
          <w:rStyle w:val="7"/>
          <w:rFonts w:hint="eastAsia" w:ascii="黑体" w:eastAsia="黑体"/>
          <w:b w:val="0"/>
          <w:color w:val="000000"/>
          <w:sz w:val="32"/>
          <w:szCs w:val="32"/>
        </w:rPr>
        <w:t>二、2022年部门预算安排情况说明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（一）关于兰溪市乡镇建设处2022年收支预算情况的总体说明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（二）关于兰溪市乡镇建设处2022年收入预算情况说明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（三）关于兰溪市乡镇建设处2022年支出预算情况说明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（四）关于兰溪市乡镇建设处2022年财政拨款收支预算情况的总体说明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（五）关于兰溪市乡镇建设处2022年一般公共预算当年拨款情况说明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（六）关于兰溪市乡镇建设处2022年一般公共预算基本支出情况说明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（七）关于兰溪市乡镇建设处2022年政府性基金预算支出情况说明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（八）关于兰溪市乡镇建设处2022年国有资本经营预算支出情况说明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（九）关于兰溪市乡镇建设处2022年一般公共预算“三公”经费预算情况说明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0"/>
        <w:overflowPunct/>
        <w:autoSpaceDE/>
        <w:autoSpaceDN/>
        <w:adjustRightInd/>
        <w:spacing w:line="520" w:lineRule="exact"/>
        <w:textAlignment w:val="auto"/>
        <w:rPr>
          <w:rStyle w:val="7"/>
          <w:rFonts w:ascii="黑体" w:eastAsia="黑体"/>
          <w:b w:val="0"/>
          <w:color w:val="000000"/>
          <w:kern w:val="2"/>
          <w:sz w:val="32"/>
          <w:szCs w:val="32"/>
        </w:rPr>
      </w:pPr>
      <w:r>
        <w:rPr>
          <w:rStyle w:val="7"/>
          <w:rFonts w:hint="eastAsia" w:ascii="黑体" w:eastAsia="黑体"/>
          <w:b w:val="0"/>
          <w:color w:val="000000"/>
          <w:kern w:val="2"/>
          <w:sz w:val="32"/>
          <w:szCs w:val="32"/>
        </w:rPr>
        <w:t>三、名词解释</w:t>
      </w:r>
    </w:p>
    <w:p>
      <w:pPr>
        <w:overflowPunct/>
        <w:autoSpaceDE/>
        <w:autoSpaceDN/>
        <w:adjustRightInd/>
        <w:spacing w:line="520" w:lineRule="exact"/>
        <w:textAlignment w:val="auto"/>
        <w:rPr>
          <w:rStyle w:val="7"/>
          <w:rFonts w:ascii="黑体" w:eastAsia="黑体"/>
          <w:b w:val="0"/>
          <w:color w:val="000000"/>
          <w:sz w:val="32"/>
          <w:szCs w:val="32"/>
        </w:rPr>
      </w:pPr>
      <w:r>
        <w:rPr>
          <w:rStyle w:val="7"/>
          <w:rFonts w:hint="eastAsia" w:ascii="黑体" w:eastAsia="黑体"/>
          <w:b w:val="0"/>
          <w:color w:val="000000"/>
          <w:sz w:val="32"/>
          <w:szCs w:val="32"/>
        </w:rPr>
        <w:t>四、2022年部门（单位）部门预算表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（一）2022年部门（单位）收支预算总表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（二）2022年部门（单位）收入预算总表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（三）2022年部门（单位）支出预算总表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（四）2022年部门（单位）财政拨款收支预算总表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（五）2022年部门（单位）一般公共预算支出表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（六）2022年部门（单位）一般公共预算基本支出表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（七）2022年部门（单位）一般公共预算“三公”经费支出表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（八）2022年部门（单位）政府性基金预算支出表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（九）2022年部门（单位）国有资本经营预算支出表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（十）2022年部门（单位）项目支出预算表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（十一）2022年部门预算财政拨款重点项目支出预算表（单位不需公开</w:t>
      </w:r>
      <w:r>
        <w:rPr>
          <w:rFonts w:ascii="楷体_GB2312" w:hAnsi="楷体_GB2312" w:eastAsia="楷体_GB2312" w:cs="楷体_GB2312"/>
          <w:bCs/>
          <w:sz w:val="32"/>
          <w:szCs w:val="32"/>
          <w:lang w:val="en"/>
        </w:rPr>
        <w:t>,</w:t>
      </w:r>
      <w:r>
        <w:rPr>
          <w:rFonts w:hint="eastAsia" w:ascii="楷体_GB2312" w:hAnsi="楷体_GB2312" w:eastAsia="楷体_GB2312" w:cs="楷体_GB2312"/>
          <w:bCs/>
          <w:sz w:val="32"/>
          <w:szCs w:val="32"/>
          <w:lang w:val="en"/>
        </w:rPr>
        <w:t>请自行删除</w:t>
      </w:r>
      <w:r>
        <w:rPr>
          <w:rFonts w:hint="eastAsia" w:ascii="楷体_GB2312" w:hAnsi="楷体_GB2312" w:eastAsia="楷体_GB2312" w:cs="楷体_GB2312"/>
          <w:bCs/>
          <w:sz w:val="32"/>
          <w:szCs w:val="32"/>
        </w:rPr>
        <w:t>）</w:t>
      </w: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pStyle w:val="2"/>
        <w:rPr>
          <w:rStyle w:val="7"/>
          <w:rFonts w:hint="default" w:ascii="黑体" w:hAnsi="黑体" w:eastAsia="黑体" w:cs="黑体"/>
          <w:bCs w:val="0"/>
          <w:sz w:val="32"/>
          <w:szCs w:val="32"/>
        </w:rPr>
      </w:pPr>
    </w:p>
    <w:p>
      <w:pPr>
        <w:overflowPunct/>
        <w:autoSpaceDE/>
        <w:autoSpaceDN/>
        <w:adjustRightInd/>
        <w:spacing w:line="560" w:lineRule="exact"/>
        <w:textAlignment w:val="auto"/>
        <w:rPr>
          <w:rStyle w:val="7"/>
          <w:rFonts w:ascii="黑体" w:hAnsi="黑体" w:eastAsia="黑体" w:cs="黑体"/>
          <w:bCs w:val="0"/>
          <w:color w:val="000000"/>
          <w:sz w:val="32"/>
          <w:szCs w:val="32"/>
        </w:rPr>
      </w:pPr>
    </w:p>
    <w:p>
      <w:pPr>
        <w:pStyle w:val="2"/>
        <w:rPr>
          <w:rStyle w:val="7"/>
          <w:rFonts w:hint="default" w:ascii="黑体" w:hAnsi="黑体" w:eastAsia="黑体" w:cs="黑体"/>
          <w:bCs w:val="0"/>
          <w:sz w:val="32"/>
          <w:szCs w:val="32"/>
        </w:rPr>
      </w:pPr>
    </w:p>
    <w:p>
      <w:pPr>
        <w:pStyle w:val="2"/>
        <w:rPr>
          <w:rStyle w:val="7"/>
          <w:rFonts w:hint="default" w:ascii="黑体" w:hAnsi="黑体" w:eastAsia="黑体" w:cs="黑体"/>
          <w:bCs w:val="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r>
        <w:rPr>
          <w:rStyle w:val="7"/>
          <w:rFonts w:hint="eastAsia" w:ascii="黑体" w:hAnsi="黑体" w:eastAsia="黑体" w:cs="黑体"/>
          <w:bCs w:val="0"/>
          <w:color w:val="000000"/>
          <w:sz w:val="32"/>
          <w:szCs w:val="32"/>
        </w:rPr>
        <w:t>一、兰溪市乡镇建设处概况</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（一）主要职能</w:t>
      </w:r>
    </w:p>
    <w:p>
      <w:pPr>
        <w:snapToGrid w:val="0"/>
        <w:spacing w:line="520" w:lineRule="exact"/>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 xml:space="preserve">1. </w:t>
      </w:r>
      <w:r>
        <w:rPr>
          <w:rFonts w:hint="eastAsia" w:ascii="仿宋_GB2312" w:hAnsi="仿宋" w:eastAsia="仿宋_GB2312"/>
          <w:sz w:val="32"/>
          <w:szCs w:val="32"/>
        </w:rPr>
        <w:t>负责我市乡镇街道建设管理、村镇建筑施工、技术咨询等</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（二）部门（单位）机构设置情况</w:t>
      </w:r>
    </w:p>
    <w:p>
      <w:pPr>
        <w:overflowPunct/>
        <w:autoSpaceDE/>
        <w:autoSpaceDN/>
        <w:adjustRightInd/>
        <w:spacing w:line="560" w:lineRule="exact"/>
        <w:ind w:firstLine="627" w:firstLineChars="196"/>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从预算单位构成看，</w:t>
      </w:r>
      <w:r>
        <w:rPr>
          <w:rFonts w:hint="eastAsia" w:ascii="仿宋_GB2312" w:hAnsi="仿宋" w:eastAsia="仿宋_GB2312"/>
          <w:sz w:val="32"/>
          <w:szCs w:val="32"/>
        </w:rPr>
        <w:t>兰溪市乡镇建设处</w:t>
      </w:r>
      <w:r>
        <w:rPr>
          <w:rFonts w:hint="eastAsia" w:ascii="宋体" w:hAnsi="宋体" w:cs="仿宋_GB2312"/>
          <w:sz w:val="30"/>
          <w:szCs w:val="30"/>
        </w:rPr>
        <w:t>二级预算单位。</w:t>
      </w:r>
    </w:p>
    <w:p>
      <w:pPr>
        <w:snapToGrid w:val="0"/>
        <w:spacing w:line="520" w:lineRule="exact"/>
        <w:ind w:firstLine="800" w:firstLineChars="250"/>
        <w:rPr>
          <w:rFonts w:ascii="仿宋_GB2312" w:hAnsi="仿宋" w:eastAsia="仿宋_GB2312"/>
          <w:sz w:val="32"/>
          <w:szCs w:val="32"/>
        </w:rPr>
      </w:pP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Style w:val="7"/>
          <w:rFonts w:hint="eastAsia" w:ascii="黑体" w:hAnsi="黑体" w:eastAsia="黑体" w:cs="楷体_GB2312"/>
          <w:bCs w:val="0"/>
          <w:color w:val="000000"/>
          <w:sz w:val="32"/>
          <w:szCs w:val="32"/>
        </w:rPr>
        <w:t>二、</w:t>
      </w:r>
      <w:r>
        <w:rPr>
          <w:rFonts w:hint="eastAsia" w:ascii="黑体" w:hAnsi="黑体" w:eastAsia="黑体" w:cs="楷体_GB2312"/>
          <w:b/>
          <w:color w:val="000000"/>
          <w:sz w:val="32"/>
          <w:szCs w:val="32"/>
        </w:rPr>
        <w:t>兰溪市</w:t>
      </w:r>
      <w:r>
        <w:rPr>
          <w:rStyle w:val="7"/>
          <w:rFonts w:hint="eastAsia" w:ascii="黑体" w:hAnsi="黑体" w:eastAsia="黑体" w:cs="楷体_GB2312"/>
          <w:bCs w:val="0"/>
          <w:color w:val="000000"/>
          <w:sz w:val="32"/>
          <w:szCs w:val="32"/>
        </w:rPr>
        <w:t>乡镇建设处2022年部门（单位）预算安排情况说明</w:t>
      </w:r>
      <w:r>
        <w:rPr>
          <w:rStyle w:val="7"/>
          <w:rFonts w:hint="eastAsia" w:ascii="黑体" w:hAnsi="黑体" w:eastAsia="黑体" w:cs="楷体_GB2312"/>
          <w:bCs w:val="0"/>
          <w:color w:val="000000"/>
          <w:sz w:val="32"/>
          <w:szCs w:val="32"/>
        </w:rPr>
        <w:br w:type="textWrapping"/>
      </w:r>
      <w:r>
        <w:rPr>
          <w:rStyle w:val="7"/>
          <w:rFonts w:hint="eastAsia" w:ascii="楷体_GB2312" w:hAnsi="楷体_GB2312" w:eastAsia="楷体_GB2312" w:cs="楷体_GB2312"/>
          <w:bCs w:val="0"/>
          <w:color w:val="000000"/>
          <w:sz w:val="32"/>
          <w:szCs w:val="32"/>
        </w:rPr>
        <w:t xml:space="preserve">  </w:t>
      </w:r>
      <w:r>
        <w:rPr>
          <w:rFonts w:hint="eastAsia" w:ascii="楷体_GB2312" w:hAnsi="楷体_GB2312" w:eastAsia="楷体_GB2312" w:cs="楷体_GB2312"/>
          <w:b/>
          <w:color w:val="000000"/>
          <w:sz w:val="32"/>
          <w:szCs w:val="32"/>
        </w:rPr>
        <w:t>（一）关于兰溪市</w:t>
      </w:r>
      <w:r>
        <w:rPr>
          <w:rStyle w:val="7"/>
          <w:rFonts w:hint="eastAsia" w:ascii="楷体_GB2312" w:hAnsi="楷体_GB2312" w:eastAsia="楷体_GB2312" w:cs="楷体_GB2312"/>
          <w:bCs w:val="0"/>
          <w:color w:val="000000"/>
          <w:sz w:val="32"/>
          <w:szCs w:val="32"/>
        </w:rPr>
        <w:t>乡镇建设处2022年收支预算情况的总体说明</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Times New Roman"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兰溪市乡镇建设处所有收入和支出均纳入部门（单位）预算管理。收入包括：一般公共预算拨款收入、政府性基金预算收入；支出包括：卫生健康支出、城乡社区支出、住房保障支出。兰溪市乡镇建设处</w:t>
      </w:r>
      <w:r>
        <w:rPr>
          <w:rFonts w:hint="eastAsia" w:ascii="仿宋_GB2312" w:hAnsi="仿宋_GB2312" w:eastAsia="仿宋_GB2312" w:cs="仿宋_GB2312"/>
          <w:bCs/>
          <w:color w:val="000000"/>
          <w:sz w:val="32"/>
          <w:szCs w:val="32"/>
        </w:rPr>
        <w:t>2022年收支总预算1932.8万元。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（二）关于兰溪市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2022年收入预算情况说明</w:t>
      </w:r>
    </w:p>
    <w:p>
      <w:pPr>
        <w:overflowPunct/>
        <w:autoSpaceDE/>
        <w:autoSpaceDN/>
        <w:adjustRightInd/>
        <w:spacing w:line="52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color w:val="000000"/>
          <w:sz w:val="32"/>
          <w:szCs w:val="32"/>
        </w:rPr>
        <w:t>2022年收入预算</w:t>
      </w:r>
      <w:r>
        <w:rPr>
          <w:rFonts w:hint="eastAsia" w:ascii="仿宋_GB2312" w:hAnsi="仿宋_GB2312" w:eastAsia="仿宋_GB2312" w:cs="仿宋_GB2312"/>
          <w:bCs/>
          <w:color w:val="000000"/>
          <w:sz w:val="32"/>
          <w:szCs w:val="32"/>
        </w:rPr>
        <w:t>1932.8</w:t>
      </w:r>
      <w:r>
        <w:rPr>
          <w:rFonts w:hint="eastAsia" w:ascii="仿宋_GB2312" w:hAnsi="仿宋_GB2312" w:eastAsia="仿宋_GB2312" w:cs="仿宋_GB2312"/>
          <w:color w:val="000000"/>
          <w:sz w:val="32"/>
          <w:szCs w:val="32"/>
        </w:rPr>
        <w:t>万元，比上年执行数减少1009.54万元，下</w:t>
      </w:r>
      <w:r>
        <w:rPr>
          <w:rFonts w:hint="eastAsia" w:ascii="仿宋_GB2312" w:hAnsi="仿宋_GB2312" w:eastAsia="仿宋_GB2312" w:cs="仿宋_GB2312"/>
          <w:color w:val="000000"/>
          <w:sz w:val="32"/>
        </w:rPr>
        <w:t>降34%，</w:t>
      </w:r>
      <w:r>
        <w:rPr>
          <w:rFonts w:hint="eastAsia" w:ascii="仿宋_GB2312" w:hAnsi="仿宋_GB2312" w:eastAsia="仿宋_GB2312" w:cs="仿宋_GB2312"/>
          <w:strike w:val="0"/>
          <w:dstrike w:val="0"/>
          <w:color w:val="000000"/>
          <w:sz w:val="32"/>
          <w:szCs w:val="32"/>
          <w:highlight w:val="none"/>
        </w:rPr>
        <w:t>主要是项目支出减少。</w:t>
      </w:r>
    </w:p>
    <w:p>
      <w:pPr>
        <w:widowControl w:val="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eastAsia="仿宋_GB2312"/>
          <w:color w:val="000000"/>
          <w:sz w:val="32"/>
          <w:szCs w:val="32"/>
        </w:rPr>
        <w:t>其中：一般公共预算拨款收入1376.32万元，占71.21%；政府性基金收入556.48万元，占28.79%。</w:t>
      </w:r>
      <w:r>
        <w:rPr>
          <w:rFonts w:hint="eastAsia" w:ascii="仿宋_GB2312" w:eastAsia="仿宋_GB2312"/>
          <w:color w:val="000000"/>
          <w:sz w:val="32"/>
          <w:szCs w:val="32"/>
        </w:rPr>
        <w:br w:type="textWrapping"/>
      </w:r>
      <w:r>
        <w:rPr>
          <w:rFonts w:hint="eastAsia" w:ascii="仿宋_GB2312" w:hAnsi="仿宋_GB2312" w:eastAsia="仿宋_GB2312" w:cs="仿宋_GB2312"/>
          <w:bCs/>
          <w:color w:val="000000"/>
          <w:sz w:val="32"/>
          <w:szCs w:val="32"/>
        </w:rPr>
        <w:t>　</w:t>
      </w:r>
      <w:r>
        <w:rPr>
          <w:rFonts w:hint="eastAsia" w:ascii="楷体_GB2312" w:hAnsi="楷体_GB2312" w:eastAsia="楷体_GB2312" w:cs="楷体_GB2312"/>
          <w:b/>
          <w:color w:val="000000"/>
          <w:sz w:val="32"/>
          <w:szCs w:val="32"/>
        </w:rPr>
        <w:t>　（三）关于兰溪市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2022年支出预算情况说明</w:t>
      </w:r>
      <w:r>
        <w:rPr>
          <w:rFonts w:hint="eastAsia" w:ascii="楷体_GB2312" w:hAnsi="楷体_GB2312" w:eastAsia="楷体_GB2312" w:cs="楷体_GB2312"/>
          <w:b/>
          <w:color w:val="000000"/>
          <w:sz w:val="32"/>
          <w:szCs w:val="32"/>
          <w:u w:val="single"/>
        </w:rPr>
        <w:t>（只填写本单位有的分类）</w:t>
      </w:r>
      <w:r>
        <w:rPr>
          <w:rFonts w:hint="eastAsia" w:ascii="楷体_GB2312" w:hAnsi="楷体_GB2312" w:eastAsia="楷体_GB2312" w:cs="楷体_GB2312"/>
          <w:b/>
          <w:color w:val="000000"/>
          <w:sz w:val="32"/>
          <w:szCs w:val="32"/>
        </w:rPr>
        <w:br w:type="textWrapping"/>
      </w:r>
      <w:r>
        <w:rPr>
          <w:rFonts w:hint="eastAsia" w:ascii="仿宋_GB2312" w:hAnsi="仿宋_GB2312" w:eastAsia="仿宋_GB2312" w:cs="仿宋_GB2312"/>
          <w:bCs/>
          <w:color w:val="000000"/>
          <w:sz w:val="32"/>
          <w:szCs w:val="32"/>
        </w:rPr>
        <w:t>　　</w:t>
      </w: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2022年支出预算</w:t>
      </w:r>
      <w:r>
        <w:rPr>
          <w:rFonts w:hint="eastAsia" w:ascii="仿宋_GB2312" w:hAnsi="仿宋_GB2312" w:eastAsia="仿宋_GB2312" w:cs="仿宋_GB2312"/>
          <w:bCs/>
          <w:color w:val="000000"/>
          <w:sz w:val="32"/>
          <w:szCs w:val="32"/>
          <w:lang w:val="en-US" w:eastAsia="zh-CN"/>
        </w:rPr>
        <w:t>1932.8</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firstLine="630"/>
        <w:textAlignment w:val="auto"/>
        <w:rPr>
          <w:rFonts w:hint="eastAsia" w:ascii="楷体_GB2312" w:hAnsi="楷体_GB2312" w:eastAsia="楷体_GB2312" w:cs="楷体_GB2312"/>
          <w:b/>
          <w:color w:val="000000"/>
          <w:sz w:val="32"/>
          <w:szCs w:val="32"/>
          <w:u w:val="single"/>
        </w:rPr>
      </w:pPr>
      <w:r>
        <w:rPr>
          <w:rFonts w:hint="eastAsia" w:ascii="仿宋_GB2312" w:hAnsi="仿宋_GB2312" w:eastAsia="仿宋_GB2312" w:cs="仿宋_GB2312"/>
          <w:bCs/>
          <w:color w:val="000000"/>
          <w:sz w:val="32"/>
          <w:szCs w:val="32"/>
        </w:rPr>
        <w:t>按支出功能分类，包括卫生健康支出12.</w:t>
      </w:r>
      <w:r>
        <w:rPr>
          <w:rFonts w:hint="eastAsia" w:ascii="仿宋_GB2312" w:hAnsi="仿宋_GB2312" w:eastAsia="仿宋_GB2312" w:cs="仿宋_GB2312"/>
          <w:bCs/>
          <w:color w:val="000000"/>
          <w:sz w:val="32"/>
          <w:szCs w:val="32"/>
          <w:lang w:val="en-US" w:eastAsia="zh-CN"/>
        </w:rPr>
        <w:t>54</w:t>
      </w:r>
      <w:r>
        <w:rPr>
          <w:rFonts w:hint="eastAsia" w:ascii="仿宋_GB2312" w:hAnsi="仿宋_GB2312" w:eastAsia="仿宋_GB2312" w:cs="仿宋_GB2312"/>
          <w:bCs/>
          <w:color w:val="000000"/>
          <w:sz w:val="32"/>
          <w:szCs w:val="32"/>
        </w:rPr>
        <w:t>万元，占0.</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5%、城乡社区支出</w:t>
      </w:r>
      <w:r>
        <w:rPr>
          <w:rFonts w:hint="eastAsia" w:ascii="仿宋_GB2312" w:hAnsi="仿宋_GB2312" w:eastAsia="仿宋_GB2312" w:cs="仿宋_GB2312"/>
          <w:bCs/>
          <w:color w:val="000000"/>
          <w:sz w:val="32"/>
          <w:szCs w:val="32"/>
          <w:lang w:val="en-US" w:eastAsia="zh-CN"/>
        </w:rPr>
        <w:t>1857.26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96.09</w:t>
      </w:r>
      <w:r>
        <w:rPr>
          <w:rFonts w:hint="eastAsia" w:ascii="仿宋_GB2312" w:hAnsi="仿宋_GB2312" w:eastAsia="仿宋_GB2312" w:cs="仿宋_GB2312"/>
          <w:bCs/>
          <w:color w:val="000000"/>
          <w:sz w:val="32"/>
          <w:szCs w:val="32"/>
        </w:rPr>
        <w:t>%、住房保障支出</w:t>
      </w:r>
      <w:r>
        <w:rPr>
          <w:rFonts w:hint="eastAsia" w:ascii="仿宋_GB2312" w:hAnsi="仿宋_GB2312" w:eastAsia="仿宋_GB2312" w:cs="仿宋_GB2312"/>
          <w:bCs/>
          <w:color w:val="000000"/>
          <w:sz w:val="32"/>
          <w:szCs w:val="32"/>
          <w:lang w:val="en-US" w:eastAsia="zh-CN"/>
        </w:rPr>
        <w:t>63</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3.26</w:t>
      </w:r>
      <w:r>
        <w:rPr>
          <w:rFonts w:hint="eastAsia" w:ascii="仿宋_GB2312" w:hAnsi="仿宋_GB2312" w:eastAsia="仿宋_GB2312" w:cs="仿宋_GB2312"/>
          <w:bCs/>
          <w:color w:val="000000"/>
          <w:sz w:val="32"/>
          <w:szCs w:val="32"/>
        </w:rPr>
        <w:t>%。</w:t>
      </w:r>
    </w:p>
    <w:p>
      <w:pPr>
        <w:numPr>
          <w:ilvl w:val="0"/>
          <w:numId w:val="1"/>
        </w:numPr>
        <w:overflowPunct/>
        <w:autoSpaceDE/>
        <w:autoSpaceDN/>
        <w:adjustRightInd/>
        <w:spacing w:line="560" w:lineRule="exact"/>
        <w:ind w:left="0" w:leftChars="0" w:firstLine="630" w:firstLineChars="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按支出用途分类，包括人员支出</w:t>
      </w:r>
      <w:r>
        <w:rPr>
          <w:rFonts w:hint="eastAsia" w:ascii="仿宋_GB2312" w:hAnsi="仿宋_GB2312" w:eastAsia="仿宋_GB2312" w:cs="仿宋_GB2312"/>
          <w:bCs/>
          <w:color w:val="000000"/>
          <w:sz w:val="32"/>
          <w:szCs w:val="32"/>
          <w:lang w:val="en-US" w:eastAsia="zh-CN"/>
        </w:rPr>
        <w:t>485.72</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25.13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26.1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1.35</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1420.98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73.52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numPr>
          <w:ilvl w:val="0"/>
          <w:numId w:val="0"/>
        </w:numPr>
        <w:overflowPunct/>
        <w:autoSpaceDE/>
        <w:autoSpaceDN/>
        <w:adjustRightInd/>
        <w:spacing w:line="560" w:lineRule="exact"/>
        <w:ind w:left="630" w:leftChars="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color w:val="000000"/>
          <w:sz w:val="32"/>
          <w:szCs w:val="32"/>
        </w:rPr>
        <w:t>财政拨款收支预算情况的总体说明</w:t>
      </w:r>
      <w:r>
        <w:rPr>
          <w:rFonts w:hint="eastAsia" w:ascii="楷体_GB2312" w:hAnsi="楷体_GB2312" w:eastAsia="楷体_GB2312" w:cs="楷体_GB2312"/>
          <w:b/>
          <w:color w:val="000000"/>
          <w:sz w:val="32"/>
          <w:szCs w:val="32"/>
          <w:u w:val="single"/>
        </w:rPr>
        <w:t>（根据表04实际情况表述）</w:t>
      </w:r>
    </w:p>
    <w:p>
      <w:pPr>
        <w:overflowPunct/>
        <w:autoSpaceDE/>
        <w:autoSpaceDN/>
        <w:adjustRightInd/>
        <w:spacing w:line="560" w:lineRule="exact"/>
        <w:ind w:firstLine="640"/>
        <w:textAlignment w:val="auto"/>
        <w:rPr>
          <w:rFonts w:ascii="仿宋_GB2312" w:hAnsi="仿宋_GB2312" w:eastAsia="仿宋_GB2312" w:cs="仿宋_GB2312"/>
          <w:bCs/>
          <w:color w:val="000000"/>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2022年财政拨款收支总预算</w:t>
      </w:r>
      <w:r>
        <w:rPr>
          <w:rFonts w:hint="eastAsia" w:ascii="仿宋_GB2312" w:hAnsi="仿宋_GB2312" w:eastAsia="仿宋_GB2312" w:cs="仿宋_GB2312"/>
          <w:bCs/>
          <w:color w:val="000000"/>
          <w:sz w:val="32"/>
          <w:szCs w:val="32"/>
          <w:lang w:val="en-US" w:eastAsia="zh-CN"/>
        </w:rPr>
        <w:t>1932.8</w:t>
      </w:r>
      <w:r>
        <w:rPr>
          <w:rFonts w:hint="eastAsia" w:ascii="仿宋_GB2312" w:hAnsi="仿宋_GB2312" w:eastAsia="仿宋_GB2312" w:cs="仿宋_GB2312"/>
          <w:bCs/>
          <w:color w:val="000000"/>
          <w:sz w:val="32"/>
          <w:szCs w:val="32"/>
        </w:rPr>
        <w:t>万元。包括：一般公共预算拨款收入</w:t>
      </w:r>
      <w:r>
        <w:rPr>
          <w:rFonts w:hint="eastAsia" w:ascii="仿宋_GB2312" w:hAnsi="仿宋_GB2312" w:eastAsia="仿宋_GB2312" w:cs="仿宋_GB2312"/>
          <w:bCs/>
          <w:color w:val="000000"/>
          <w:sz w:val="32"/>
          <w:szCs w:val="32"/>
          <w:lang w:val="en-US" w:eastAsia="zh-CN"/>
        </w:rPr>
        <w:t>1376.32</w:t>
      </w:r>
      <w:r>
        <w:rPr>
          <w:rFonts w:hint="eastAsia" w:ascii="仿宋_GB2312" w:hAnsi="仿宋_GB2312" w:eastAsia="仿宋_GB2312" w:cs="仿宋_GB2312"/>
          <w:bCs/>
          <w:color w:val="000000"/>
          <w:sz w:val="32"/>
          <w:szCs w:val="32"/>
        </w:rPr>
        <w:t>万元、政府性基金收入</w:t>
      </w:r>
      <w:r>
        <w:rPr>
          <w:rFonts w:hint="eastAsia" w:ascii="仿宋_GB2312" w:hAnsi="仿宋_GB2312" w:eastAsia="仿宋_GB2312" w:cs="仿宋_GB2312"/>
          <w:bCs/>
          <w:color w:val="000000"/>
          <w:sz w:val="32"/>
          <w:szCs w:val="32"/>
          <w:lang w:val="en-US" w:eastAsia="zh-CN"/>
        </w:rPr>
        <w:t>556.48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2022年一般公共预算当年拨款情况说明</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overflowPunct/>
        <w:autoSpaceDE/>
        <w:autoSpaceDN/>
        <w:adjustRightInd/>
        <w:spacing w:line="52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2022年一般公共预算当年拨款</w:t>
      </w:r>
      <w:r>
        <w:rPr>
          <w:rFonts w:hint="eastAsia" w:ascii="仿宋_GB2312" w:hAnsi="仿宋_GB2312" w:eastAsia="仿宋_GB2312" w:cs="仿宋_GB2312"/>
          <w:bCs/>
          <w:color w:val="000000"/>
          <w:sz w:val="32"/>
          <w:szCs w:val="32"/>
          <w:lang w:val="en-US" w:eastAsia="zh-CN"/>
        </w:rPr>
        <w:t>1376.32</w:t>
      </w:r>
      <w:r>
        <w:rPr>
          <w:rFonts w:hint="eastAsia" w:ascii="仿宋_GB2312" w:hAnsi="仿宋_GB2312" w:eastAsia="仿宋_GB2312" w:cs="仿宋_GB2312"/>
          <w:bCs/>
          <w:color w:val="000000"/>
          <w:sz w:val="32"/>
          <w:szCs w:val="32"/>
        </w:rPr>
        <w:t>万元，比上年执行数</w:t>
      </w:r>
      <w:r>
        <w:rPr>
          <w:rFonts w:hint="eastAsia" w:ascii="仿宋_GB2312" w:hAnsi="仿宋_GB2312" w:eastAsia="仿宋_GB2312" w:cs="仿宋_GB2312"/>
          <w:bCs/>
          <w:color w:val="000000"/>
          <w:sz w:val="32"/>
          <w:szCs w:val="32"/>
          <w:lang w:eastAsia="zh-CN"/>
        </w:rPr>
        <w:t>减少</w:t>
      </w:r>
      <w:r>
        <w:rPr>
          <w:rFonts w:hint="eastAsia" w:ascii="仿宋_GB2312" w:hAnsi="仿宋_GB2312" w:eastAsia="仿宋_GB2312" w:cs="仿宋_GB2312"/>
          <w:color w:val="000000"/>
          <w:sz w:val="32"/>
          <w:szCs w:val="32"/>
          <w:lang w:val="en-US" w:eastAsia="zh-CN"/>
        </w:rPr>
        <w:t>382.79</w:t>
      </w:r>
      <w:r>
        <w:rPr>
          <w:rFonts w:hint="eastAsia" w:ascii="仿宋_GB2312" w:hAnsi="仿宋_GB2312" w:eastAsia="仿宋_GB2312" w:cs="仿宋_GB2312"/>
          <w:bCs/>
          <w:color w:val="000000"/>
          <w:sz w:val="32"/>
          <w:szCs w:val="32"/>
        </w:rPr>
        <w:t>万元，主要是</w:t>
      </w:r>
      <w:r>
        <w:rPr>
          <w:rFonts w:hint="eastAsia" w:ascii="仿宋_GB2312" w:hAnsi="仿宋_GB2312" w:eastAsia="仿宋_GB2312" w:cs="仿宋_GB2312"/>
          <w:bCs/>
          <w:color w:val="000000"/>
          <w:sz w:val="32"/>
          <w:szCs w:val="32"/>
          <w:lang w:eastAsia="zh-CN"/>
        </w:rPr>
        <w:t>农村危房改造阶段性任务</w:t>
      </w:r>
      <w:r>
        <w:rPr>
          <w:rFonts w:hint="eastAsia" w:ascii="仿宋_GB2312" w:hAnsi="仿宋_GB2312" w:eastAsia="仿宋_GB2312" w:cs="仿宋_GB2312"/>
          <w:color w:val="000000"/>
          <w:sz w:val="32"/>
          <w:szCs w:val="32"/>
        </w:rPr>
        <w:t>减少。</w:t>
      </w:r>
    </w:p>
    <w:p>
      <w:pPr>
        <w:overflowPunct/>
        <w:autoSpaceDE/>
        <w:autoSpaceDN/>
        <w:adjustRightInd/>
        <w:spacing w:line="560" w:lineRule="exact"/>
        <w:textAlignment w:val="auto"/>
        <w:rPr>
          <w:rFonts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.一般公共预算当年拨款具体使用情况</w:t>
      </w:r>
      <w:r>
        <w:rPr>
          <w:rFonts w:hint="eastAsia" w:ascii="仿宋_GB2312" w:hAnsi="仿宋_GB2312" w:eastAsia="仿宋_GB2312" w:cs="仿宋_GB2312"/>
          <w:b/>
          <w:color w:val="000000"/>
          <w:sz w:val="32"/>
          <w:szCs w:val="32"/>
          <w:u w:val="single"/>
        </w:rPr>
        <w:t>（根据表05实际情况表述，功能科目写至项级科目如2010101行政运行）</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（2）卫生健康支出（类）行政事业单位医疗（款）事业单位医疗（项）12.</w:t>
      </w:r>
      <w:r>
        <w:rPr>
          <w:rFonts w:hint="eastAsia" w:ascii="仿宋_GB2312" w:hAnsi="仿宋_GB2312" w:eastAsia="仿宋_GB2312" w:cs="仿宋_GB2312"/>
          <w:bCs/>
          <w:color w:val="000000"/>
          <w:sz w:val="32"/>
          <w:szCs w:val="32"/>
          <w:lang w:val="en-US" w:eastAsia="zh-CN"/>
        </w:rPr>
        <w:t>54</w:t>
      </w:r>
      <w:r>
        <w:rPr>
          <w:rFonts w:hint="eastAsia" w:ascii="仿宋_GB2312" w:hAnsi="仿宋_GB2312" w:eastAsia="仿宋_GB2312" w:cs="仿宋_GB2312"/>
          <w:bCs/>
          <w:color w:val="000000"/>
          <w:sz w:val="32"/>
          <w:szCs w:val="32"/>
        </w:rPr>
        <w:t>万元，主要用于事业单位医疗保险缴费经费。</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（3）城乡社区支出（类）城乡规划与管理（款）城乡规划与管理（项）</w:t>
      </w:r>
      <w:r>
        <w:rPr>
          <w:rFonts w:hint="eastAsia" w:ascii="仿宋_GB2312" w:hAnsi="仿宋_GB2312" w:eastAsia="仿宋_GB2312" w:cs="仿宋_GB2312"/>
          <w:bCs/>
          <w:color w:val="000000"/>
          <w:sz w:val="32"/>
          <w:szCs w:val="32"/>
          <w:lang w:val="en-US" w:eastAsia="zh-CN"/>
        </w:rPr>
        <w:t>499.28</w:t>
      </w:r>
      <w:r>
        <w:rPr>
          <w:rFonts w:hint="eastAsia" w:ascii="仿宋_GB2312" w:hAnsi="仿宋_GB2312" w:eastAsia="仿宋_GB2312" w:cs="仿宋_GB2312"/>
          <w:bCs/>
          <w:color w:val="000000"/>
          <w:sz w:val="32"/>
          <w:szCs w:val="32"/>
        </w:rPr>
        <w:t>万元，主要用于弥补日常运转经费不足。</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（4）城乡社区支出（类）其他城乡社区支出（款）其他城乡社区支出（（项）</w:t>
      </w:r>
      <w:r>
        <w:rPr>
          <w:rFonts w:hint="eastAsia" w:ascii="仿宋_GB2312" w:hAnsi="仿宋_GB2312" w:eastAsia="仿宋_GB2312" w:cs="仿宋_GB2312"/>
          <w:bCs/>
          <w:color w:val="000000"/>
          <w:sz w:val="32"/>
          <w:szCs w:val="32"/>
          <w:lang w:val="en-US" w:eastAsia="zh-CN"/>
        </w:rPr>
        <w:t>801.5</w:t>
      </w:r>
      <w:r>
        <w:rPr>
          <w:rFonts w:hint="eastAsia" w:ascii="仿宋_GB2312" w:hAnsi="仿宋_GB2312" w:eastAsia="仿宋_GB2312" w:cs="仿宋_GB2312"/>
          <w:bCs/>
          <w:color w:val="000000"/>
          <w:sz w:val="32"/>
          <w:szCs w:val="32"/>
        </w:rPr>
        <w:t>万元，主要用于美丽宜居示范村建设。</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（5）住房保障支出（类）保障性安居工程支出（款）农村危房改造（项）</w:t>
      </w:r>
      <w:r>
        <w:rPr>
          <w:rFonts w:hint="eastAsia" w:ascii="仿宋_GB2312" w:hAnsi="仿宋_GB2312" w:eastAsia="仿宋_GB2312" w:cs="仿宋_GB2312"/>
          <w:bCs/>
          <w:color w:val="000000"/>
          <w:sz w:val="32"/>
          <w:szCs w:val="32"/>
          <w:lang w:val="en-US" w:eastAsia="zh-CN"/>
        </w:rPr>
        <w:t>63</w:t>
      </w:r>
      <w:r>
        <w:rPr>
          <w:rFonts w:hint="eastAsia" w:ascii="仿宋_GB2312" w:hAnsi="仿宋_GB2312" w:eastAsia="仿宋_GB2312" w:cs="仿宋_GB2312"/>
          <w:bCs/>
          <w:color w:val="000000"/>
          <w:sz w:val="32"/>
          <w:szCs w:val="32"/>
        </w:rPr>
        <w:t>万元，主要用于困难家庭农</w:t>
      </w:r>
      <w:r>
        <w:rPr>
          <w:rFonts w:hint="eastAsia" w:ascii="仿宋_GB2312" w:hAnsi="仿宋_GB2312" w:eastAsia="仿宋_GB2312" w:cs="仿宋_GB2312"/>
          <w:bCs/>
          <w:color w:val="000000"/>
          <w:sz w:val="32"/>
          <w:szCs w:val="32"/>
          <w:lang w:eastAsia="zh-CN"/>
        </w:rPr>
        <w:t>村危</w:t>
      </w:r>
      <w:r>
        <w:rPr>
          <w:rFonts w:hint="eastAsia" w:ascii="仿宋_GB2312" w:hAnsi="仿宋_GB2312" w:eastAsia="仿宋_GB2312" w:cs="仿宋_GB2312"/>
          <w:bCs/>
          <w:color w:val="000000"/>
          <w:sz w:val="32"/>
          <w:szCs w:val="32"/>
        </w:rPr>
        <w:t>房改造救助。</w:t>
      </w:r>
    </w:p>
    <w:p>
      <w:pPr>
        <w:pStyle w:val="2"/>
        <w:rPr>
          <w:szCs w:val="24"/>
        </w:rPr>
      </w:pPr>
    </w:p>
    <w:p>
      <w:pPr>
        <w:overflowPunct/>
        <w:autoSpaceDE/>
        <w:autoSpaceDN/>
        <w:adjustRightInd/>
        <w:spacing w:line="560" w:lineRule="exact"/>
        <w:textAlignment w:val="auto"/>
        <w:rPr>
          <w:rFonts w:ascii="楷体_GB2312" w:hAnsi="楷体_GB2312" w:eastAsia="楷体_GB2312" w:cs="楷体_GB2312"/>
          <w:b/>
          <w:color w:val="000000"/>
          <w:sz w:val="32"/>
          <w:szCs w:val="32"/>
        </w:rPr>
      </w:pPr>
      <w:r>
        <w:rPr>
          <w:rFonts w:hint="eastAsia" w:ascii="仿宋_GB2312" w:hAnsi="仿宋_GB2312" w:eastAsia="仿宋_GB2312" w:cs="仿宋_GB2312"/>
          <w:bCs/>
          <w:color w:val="000000"/>
          <w:sz w:val="32"/>
          <w:szCs w:val="32"/>
        </w:rPr>
        <w:t xml:space="preserve">   </w:t>
      </w:r>
      <w:r>
        <w:rPr>
          <w:rFonts w:hint="eastAsia" w:ascii="楷体_GB2312" w:hAnsi="楷体_GB2312" w:eastAsia="楷体_GB2312" w:cs="楷体_GB2312"/>
          <w:b/>
          <w:color w:val="000000"/>
          <w:sz w:val="32"/>
          <w:szCs w:val="32"/>
        </w:rPr>
        <w:t xml:space="preserve"> （六）关于兰溪市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2022年一般公共预算基本支出情况说明</w:t>
      </w:r>
      <w:r>
        <w:rPr>
          <w:rFonts w:hint="eastAsia" w:ascii="楷体_GB2312" w:hAnsi="楷体_GB2312" w:eastAsia="楷体_GB2312" w:cs="楷体_GB2312"/>
          <w:b/>
          <w:color w:val="000000"/>
          <w:sz w:val="32"/>
          <w:szCs w:val="32"/>
          <w:u w:val="single"/>
        </w:rPr>
        <w:t>（根据表06实际情况表述）</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2022年一般公共预算基本支出</w:t>
      </w:r>
      <w:r>
        <w:rPr>
          <w:rFonts w:hint="eastAsia" w:ascii="仿宋_GB2312" w:hAnsi="仿宋_GB2312" w:eastAsia="仿宋_GB2312" w:cs="仿宋_GB2312"/>
          <w:bCs/>
          <w:color w:val="000000"/>
          <w:sz w:val="32"/>
          <w:szCs w:val="32"/>
          <w:lang w:val="en-US" w:eastAsia="zh-CN"/>
        </w:rPr>
        <w:t>511.82</w:t>
      </w:r>
      <w:r>
        <w:rPr>
          <w:rFonts w:hint="eastAsia" w:ascii="仿宋_GB2312" w:hAnsi="仿宋_GB2312" w:eastAsia="仿宋_GB2312" w:cs="仿宋_GB2312"/>
          <w:bCs/>
          <w:color w:val="000000"/>
          <w:sz w:val="32"/>
          <w:szCs w:val="32"/>
        </w:rPr>
        <w:t>万元，其中：</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color w:val="000000"/>
          <w:sz w:val="32"/>
          <w:szCs w:val="32"/>
          <w:lang w:val="en-US" w:eastAsia="zh-CN"/>
        </w:rPr>
        <w:t>485.72</w:t>
      </w:r>
      <w:r>
        <w:rPr>
          <w:rFonts w:hint="eastAsia" w:ascii="仿宋_GB2312" w:hAnsi="仿宋_GB2312" w:eastAsia="仿宋_GB2312" w:cs="仿宋_GB2312"/>
          <w:bCs/>
          <w:color w:val="000000"/>
          <w:sz w:val="32"/>
          <w:szCs w:val="32"/>
        </w:rPr>
        <w:t>万元，主要包括：基本工资、津贴补贴、奖金、</w:t>
      </w:r>
      <w:r>
        <w:rPr>
          <w:rFonts w:hint="eastAsia" w:ascii="仿宋_GB2312" w:hAnsi="仿宋_GB2312" w:eastAsia="仿宋_GB2312" w:cs="仿宋_GB2312"/>
          <w:bCs/>
          <w:color w:val="000000"/>
          <w:sz w:val="32"/>
          <w:szCs w:val="32"/>
          <w:lang w:val="en-US" w:eastAsia="zh-CN"/>
        </w:rPr>
        <w:t>伙食补助费、</w:t>
      </w:r>
      <w:r>
        <w:rPr>
          <w:rFonts w:hint="eastAsia" w:ascii="仿宋_GB2312" w:hAnsi="仿宋_GB2312" w:eastAsia="仿宋_GB2312" w:cs="仿宋_GB2312"/>
          <w:bCs/>
          <w:color w:val="000000"/>
          <w:sz w:val="32"/>
          <w:szCs w:val="32"/>
        </w:rPr>
        <w:t>绩效工资、</w:t>
      </w:r>
      <w:r>
        <w:rPr>
          <w:rFonts w:hint="eastAsia" w:ascii="仿宋_GB2312" w:hAnsi="仿宋_GB2312" w:eastAsia="仿宋_GB2312" w:cs="仿宋_GB2312"/>
          <w:bCs/>
          <w:color w:val="000000"/>
          <w:sz w:val="32"/>
          <w:szCs w:val="32"/>
          <w:lang w:val="en-US" w:eastAsia="zh-CN"/>
        </w:rPr>
        <w:t>机关事业单位基本养老保险缴费、职业年金缴费、职工基本医疗保险缴费、其他社会保障、</w:t>
      </w:r>
      <w:r>
        <w:rPr>
          <w:rFonts w:hint="eastAsia" w:ascii="仿宋_GB2312" w:hAnsi="仿宋_GB2312" w:eastAsia="仿宋_GB2312" w:cs="仿宋_GB2312"/>
          <w:bCs/>
          <w:color w:val="000000"/>
          <w:sz w:val="32"/>
          <w:szCs w:val="32"/>
        </w:rPr>
        <w:t>住房公积金、其他工资福利支出、其他对个人和家庭的补助支出（各部门根据实际情况调整）；</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hint="eastAsia" w:ascii="仿宋_GB2312" w:hAnsi="仿宋_GB2312" w:eastAsia="仿宋_GB2312" w:cs="仿宋_GB2312"/>
          <w:bCs/>
          <w:color w:val="000000"/>
          <w:sz w:val="32"/>
          <w:szCs w:val="32"/>
          <w:lang w:val="en-US" w:eastAsia="zh-CN"/>
        </w:rPr>
        <w:t>26.1</w:t>
      </w:r>
      <w:r>
        <w:rPr>
          <w:rFonts w:hint="eastAsia" w:ascii="仿宋_GB2312" w:hAnsi="仿宋_GB2312" w:eastAsia="仿宋_GB2312" w:cs="仿宋_GB2312"/>
          <w:bCs/>
          <w:color w:val="000000"/>
          <w:sz w:val="32"/>
          <w:szCs w:val="32"/>
        </w:rPr>
        <w:t>万元，主要包括：办公费、印刷费、邮电费、维修（护）费、工会经费、其他商品和服务支出。</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公务交通补贴</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万元；车辆运行维护费</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万元；公共交通费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万元；机要通信和应急公务用车经费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overflowPunct/>
        <w:autoSpaceDE/>
        <w:autoSpaceDN/>
        <w:adjustRightInd/>
        <w:spacing w:line="560" w:lineRule="exact"/>
        <w:ind w:firstLine="642"/>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2022年政府性基金预算支出情况说明</w:t>
      </w:r>
    </w:p>
    <w:p>
      <w:pPr>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1.政府性基金预算当年拨款规模变化情况</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2022年政府性基金预算当年拨款</w:t>
      </w:r>
      <w:r>
        <w:rPr>
          <w:rFonts w:hint="eastAsia" w:ascii="仿宋_GB2312" w:hAnsi="仿宋_GB2312" w:eastAsia="仿宋_GB2312" w:cs="仿宋_GB2312"/>
          <w:bCs/>
          <w:color w:val="000000"/>
          <w:sz w:val="32"/>
          <w:szCs w:val="32"/>
          <w:lang w:val="en-US" w:eastAsia="zh-CN"/>
        </w:rPr>
        <w:t>556.48</w:t>
      </w:r>
      <w:r>
        <w:rPr>
          <w:rFonts w:hint="eastAsia" w:ascii="仿宋_GB2312" w:hAnsi="仿宋_GB2312" w:eastAsia="仿宋_GB2312" w:cs="仿宋_GB2312"/>
          <w:bCs/>
          <w:color w:val="000000"/>
          <w:sz w:val="32"/>
          <w:szCs w:val="32"/>
        </w:rPr>
        <w:t>万元，比2021年执行数减少</w:t>
      </w:r>
      <w:r>
        <w:rPr>
          <w:rFonts w:hint="eastAsia" w:ascii="仿宋_GB2312" w:hAnsi="仿宋_GB2312" w:eastAsia="仿宋_GB2312" w:cs="仿宋_GB2312"/>
          <w:bCs/>
          <w:color w:val="000000"/>
          <w:sz w:val="32"/>
          <w:szCs w:val="32"/>
          <w:lang w:val="en-US" w:eastAsia="zh-CN"/>
        </w:rPr>
        <w:t>626.75</w:t>
      </w:r>
      <w:r>
        <w:rPr>
          <w:rFonts w:hint="eastAsia" w:ascii="仿宋_GB2312" w:hAnsi="仿宋_GB2312" w:eastAsia="仿宋_GB2312" w:cs="仿宋_GB2312"/>
          <w:bCs/>
          <w:color w:val="000000"/>
          <w:sz w:val="32"/>
          <w:szCs w:val="32"/>
        </w:rPr>
        <w:t>万元，主要用于乡镇基础设施建设。</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2.政府性基金预算当年拨款结构情况</w:t>
      </w:r>
    </w:p>
    <w:p>
      <w:pPr>
        <w:overflowPunct/>
        <w:autoSpaceDE/>
        <w:autoSpaceDN/>
        <w:adjustRightInd/>
        <w:spacing w:line="560" w:lineRule="exact"/>
        <w:ind w:firstLine="64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城乡社区支出（类）</w:t>
      </w:r>
      <w:r>
        <w:rPr>
          <w:rFonts w:hint="eastAsia" w:ascii="仿宋_GB2312" w:hAnsi="仿宋_GB2312" w:eastAsia="仿宋_GB2312" w:cs="仿宋_GB2312"/>
          <w:bCs/>
          <w:color w:val="000000"/>
          <w:sz w:val="32"/>
          <w:szCs w:val="32"/>
          <w:lang w:val="en-US" w:eastAsia="zh-CN"/>
        </w:rPr>
        <w:t>556.48</w:t>
      </w:r>
      <w:r>
        <w:rPr>
          <w:rFonts w:hint="eastAsia" w:ascii="仿宋_GB2312" w:hAnsi="仿宋_GB2312" w:eastAsia="仿宋_GB2312" w:cs="仿宋_GB2312"/>
          <w:bCs/>
          <w:color w:val="000000"/>
          <w:sz w:val="32"/>
          <w:szCs w:val="32"/>
        </w:rPr>
        <w:t>万元，占100%。</w:t>
      </w:r>
    </w:p>
    <w:p>
      <w:pPr>
        <w:overflowPunct/>
        <w:autoSpaceDE/>
        <w:autoSpaceDN/>
        <w:adjustRightInd/>
        <w:spacing w:line="560" w:lineRule="exact"/>
        <w:textAlignment w:val="auto"/>
        <w:rPr>
          <w:rFonts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3.政府性基金预算当年拨款具体使用情况</w:t>
      </w:r>
      <w:r>
        <w:rPr>
          <w:rFonts w:hint="eastAsia" w:ascii="仿宋_GB2312" w:hAnsi="仿宋_GB2312" w:eastAsia="仿宋_GB2312" w:cs="仿宋_GB2312"/>
          <w:b/>
          <w:color w:val="000000"/>
          <w:sz w:val="32"/>
          <w:szCs w:val="32"/>
          <w:u w:val="single"/>
        </w:rPr>
        <w:t>（根据表08实际情况表述，功能科目写至项级科目如2120801征地和拆迁补偿支出）</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城乡社区支出（类）城市基础设施配套费安排支出（款）其他城市基础设施配套费安排支出（项）4</w:t>
      </w:r>
      <w:r>
        <w:rPr>
          <w:rFonts w:hint="eastAsia" w:ascii="仿宋_GB2312" w:hAnsi="仿宋_GB2312" w:eastAsia="仿宋_GB2312" w:cs="仿宋_GB2312"/>
          <w:bCs/>
          <w:color w:val="000000"/>
          <w:sz w:val="32"/>
          <w:szCs w:val="32"/>
          <w:lang w:val="en-US" w:eastAsia="zh-CN"/>
        </w:rPr>
        <w:t>38.48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993300"/>
          <w:sz w:val="32"/>
          <w:szCs w:val="32"/>
        </w:rPr>
        <w:t>，</w:t>
      </w:r>
      <w:r>
        <w:rPr>
          <w:rFonts w:hint="eastAsia" w:ascii="仿宋_GB2312" w:hAnsi="仿宋_GB2312" w:eastAsia="仿宋_GB2312" w:cs="仿宋_GB2312"/>
          <w:bCs/>
          <w:color w:val="000000"/>
          <w:sz w:val="32"/>
          <w:szCs w:val="32"/>
        </w:rPr>
        <w:t>主要用于乡镇基础设施建设</w:t>
      </w:r>
    </w:p>
    <w:p>
      <w:pPr>
        <w:pStyle w:val="2"/>
        <w:rPr>
          <w:rFonts w:hint="eastAsia"/>
        </w:rPr>
      </w:pPr>
      <w:r>
        <w:rPr>
          <w:rFonts w:hint="eastAsia" w:ascii="仿宋_GB2312" w:hAnsi="仿宋_GB2312" w:eastAsia="仿宋_GB2312" w:cs="仿宋_GB2312"/>
          <w:bCs/>
          <w:color w:val="000000"/>
          <w:sz w:val="32"/>
          <w:szCs w:val="32"/>
        </w:rPr>
        <w:t>城乡社区支出（类）</w:t>
      </w:r>
      <w:r>
        <w:rPr>
          <w:rFonts w:hint="eastAsia" w:cs="仿宋_GB2312"/>
          <w:bCs/>
          <w:color w:val="000000"/>
          <w:sz w:val="32"/>
          <w:szCs w:val="32"/>
          <w:lang w:val="en-US" w:eastAsia="zh-CN"/>
        </w:rPr>
        <w:t>国有土地使用权出让收入安排的支出</w:t>
      </w:r>
      <w:r>
        <w:rPr>
          <w:rFonts w:hint="eastAsia" w:ascii="仿宋_GB2312" w:hAnsi="仿宋_GB2312" w:eastAsia="仿宋_GB2312" w:cs="仿宋_GB2312"/>
          <w:bCs/>
          <w:color w:val="000000"/>
          <w:sz w:val="32"/>
          <w:szCs w:val="32"/>
        </w:rPr>
        <w:t>（款）</w:t>
      </w:r>
      <w:r>
        <w:rPr>
          <w:rFonts w:hint="eastAsia" w:cs="仿宋_GB2312"/>
          <w:bCs/>
          <w:color w:val="000000"/>
          <w:sz w:val="32"/>
          <w:szCs w:val="32"/>
          <w:lang w:eastAsia="zh-CN"/>
        </w:rPr>
        <w:t>农村基础设施建设支出</w:t>
      </w:r>
      <w:r>
        <w:rPr>
          <w:rFonts w:hint="eastAsia" w:ascii="仿宋_GB2312" w:hAnsi="仿宋_GB2312" w:eastAsia="仿宋_GB2312" w:cs="仿宋_GB2312"/>
          <w:bCs/>
          <w:color w:val="000000"/>
          <w:sz w:val="32"/>
          <w:szCs w:val="32"/>
        </w:rPr>
        <w:t>（项）</w:t>
      </w:r>
      <w:r>
        <w:rPr>
          <w:rFonts w:hint="eastAsia" w:cs="仿宋_GB2312"/>
          <w:bCs/>
          <w:color w:val="000000"/>
          <w:sz w:val="32"/>
          <w:szCs w:val="32"/>
          <w:lang w:val="en-US" w:eastAsia="zh-CN"/>
        </w:rPr>
        <w:t>118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993300"/>
          <w:sz w:val="32"/>
          <w:szCs w:val="32"/>
        </w:rPr>
        <w:t>，</w:t>
      </w:r>
      <w:r>
        <w:rPr>
          <w:rFonts w:hint="eastAsia" w:ascii="仿宋_GB2312" w:hAnsi="仿宋_GB2312" w:eastAsia="仿宋_GB2312" w:cs="仿宋_GB2312"/>
          <w:bCs/>
          <w:color w:val="000000"/>
          <w:sz w:val="32"/>
          <w:szCs w:val="32"/>
        </w:rPr>
        <w:t>主要用于乡镇基础设施建设</w:t>
      </w:r>
    </w:p>
    <w:p>
      <w:pPr>
        <w:overflowPunct/>
        <w:autoSpaceDE/>
        <w:autoSpaceDN/>
        <w:adjustRightInd/>
        <w:spacing w:line="560" w:lineRule="exact"/>
        <w:ind w:firstLine="642"/>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w:t>
      </w:r>
      <w:r>
        <w:rPr>
          <w:rFonts w:hint="eastAsia" w:ascii="楷体_GB2312" w:hAnsi="楷体_GB2312" w:eastAsia="楷体_GB2312" w:cs="楷体_GB2312"/>
          <w:b/>
          <w:color w:val="000000"/>
          <w:sz w:val="32"/>
          <w:szCs w:val="32"/>
        </w:rPr>
        <w:t>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2022年国有资本经营预算支出情况说明</w:t>
      </w:r>
    </w:p>
    <w:p>
      <w:pPr>
        <w:overflowPunct/>
        <w:autoSpaceDE/>
        <w:autoSpaceDN/>
        <w:adjustRightInd/>
        <w:spacing w:line="520" w:lineRule="exact"/>
        <w:ind w:left="477" w:leftChars="227"/>
        <w:textAlignment w:val="auto"/>
        <w:rPr>
          <w:rFonts w:ascii="仿宋_GB2312" w:hAnsi="仿宋_GB2312" w:eastAsia="仿宋_GB2312" w:cs="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eastAsia="仿宋_GB2312"/>
          <w:color w:val="000000"/>
          <w:sz w:val="32"/>
          <w:szCs w:val="32"/>
        </w:rPr>
        <w:t>兰溪市乡镇建设处</w:t>
      </w:r>
      <w:r>
        <w:rPr>
          <w:rFonts w:hint="eastAsia" w:ascii="仿宋_GB2312" w:hAnsi="仿宋_GB2312" w:eastAsia="仿宋_GB2312" w:cs="仿宋_GB2312"/>
          <w:color w:val="000000"/>
          <w:sz w:val="32"/>
          <w:szCs w:val="32"/>
        </w:rPr>
        <w:t>2022年没有使用国有资本经营预算拨款安排的支出。</w:t>
      </w:r>
    </w:p>
    <w:p>
      <w:pPr>
        <w:pStyle w:val="2"/>
        <w:rPr>
          <w:rFonts w:hint="default"/>
        </w:rPr>
      </w:pP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（九）关于兰溪市</w:t>
      </w:r>
      <w:r>
        <w:rPr>
          <w:rStyle w:val="7"/>
          <w:rFonts w:hint="eastAsia" w:ascii="楷体_GB2312" w:hAnsi="楷体_GB2312" w:eastAsia="楷体_GB2312" w:cs="楷体_GB2312"/>
          <w:bCs w:val="0"/>
          <w:color w:val="000000"/>
          <w:sz w:val="32"/>
          <w:szCs w:val="32"/>
        </w:rPr>
        <w:t>乡镇建设处</w:t>
      </w:r>
      <w:r>
        <w:rPr>
          <w:rFonts w:hint="eastAsia" w:ascii="楷体_GB2312" w:hAnsi="楷体_GB2312" w:eastAsia="楷体_GB2312" w:cs="楷体_GB2312"/>
          <w:b/>
          <w:color w:val="000000"/>
          <w:sz w:val="32"/>
          <w:szCs w:val="32"/>
        </w:rPr>
        <w:t>2022年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r>
        <w:rPr>
          <w:rFonts w:hint="eastAsia" w:ascii="楷体_GB2312" w:hAnsi="楷体_GB2312" w:eastAsia="楷体_GB2312" w:cs="楷体_GB2312"/>
          <w:b/>
          <w:color w:val="000000"/>
          <w:sz w:val="32"/>
          <w:szCs w:val="32"/>
          <w:u w:val="single"/>
        </w:rPr>
        <w:t>（根据表07实际情况表述，必须要和上年进行比较并说明增减变化原因，不可删除）</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kern w:val="2"/>
          <w:sz w:val="32"/>
          <w:szCs w:val="32"/>
        </w:rPr>
        <w:t>2022 年“三公”经费预算数为</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kern w:val="2"/>
          <w:sz w:val="32"/>
          <w:szCs w:val="32"/>
        </w:rPr>
        <w:t>万元，比2021年执行数减少</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kern w:val="2"/>
          <w:sz w:val="32"/>
          <w:szCs w:val="32"/>
        </w:rPr>
        <w:t>万元，下降</w:t>
      </w:r>
      <w:r>
        <w:rPr>
          <w:rFonts w:hint="eastAsia" w:ascii="仿宋_GB2312" w:hAnsi="仿宋_GB2312" w:eastAsia="仿宋_GB2312" w:cs="仿宋_GB2312"/>
          <w:bCs/>
          <w:color w:val="000000"/>
          <w:sz w:val="32"/>
          <w:szCs w:val="32"/>
          <w:lang w:val="en-US" w:eastAsia="zh-CN"/>
        </w:rPr>
        <w:t>50</w:t>
      </w:r>
      <w:r>
        <w:rPr>
          <w:rFonts w:hint="eastAsia" w:ascii="仿宋_GB2312" w:hAnsi="仿宋_GB2312" w:eastAsia="仿宋_GB2312" w:cs="仿宋_GB2312"/>
          <w:bCs/>
          <w:color w:val="000000"/>
          <w:kern w:val="2"/>
          <w:sz w:val="32"/>
          <w:szCs w:val="32"/>
        </w:rPr>
        <w:t xml:space="preserve"> %，具体如下：</w:t>
      </w:r>
    </w:p>
    <w:p>
      <w:pPr>
        <w:pStyle w:val="10"/>
        <w:overflowPunct/>
        <w:autoSpaceDE/>
        <w:autoSpaceDN/>
        <w:adjustRightInd/>
        <w:spacing w:line="560" w:lineRule="exact"/>
        <w:ind w:firstLine="640" w:firstLineChars="200"/>
        <w:textAlignment w:val="auto"/>
        <w:rPr>
          <w:rFonts w:ascii="楷体_GB2312" w:hAnsi="楷体_GB2312" w:eastAsia="楷体_GB2312" w:cs="楷体_GB2312"/>
          <w:b/>
          <w:sz w:val="32"/>
          <w:szCs w:val="32"/>
          <w:u w:val="single"/>
        </w:rPr>
      </w:pPr>
      <w:r>
        <w:rPr>
          <w:rFonts w:hint="eastAsia" w:ascii="仿宋_GB2312" w:hAnsi="仿宋_GB2312" w:eastAsia="仿宋_GB2312" w:cs="仿宋_GB2312"/>
          <w:bCs/>
          <w:sz w:val="32"/>
          <w:szCs w:val="32"/>
        </w:rPr>
        <w:t>公务用车购置及运行维护费：202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年安排公务用车购置及运行维护费预算</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sz w:val="32"/>
          <w:szCs w:val="32"/>
        </w:rPr>
        <w:t>万元，比上年执行数</w:t>
      </w:r>
      <w:r>
        <w:rPr>
          <w:rFonts w:hint="eastAsia" w:ascii="仿宋_GB2312" w:hAnsi="仿宋_GB2312" w:eastAsia="仿宋_GB2312" w:cs="仿宋_GB2312"/>
          <w:bCs/>
          <w:sz w:val="32"/>
          <w:szCs w:val="32"/>
          <w:lang w:eastAsia="zh-CN"/>
        </w:rPr>
        <w:t>减少</w:t>
      </w:r>
      <w:r>
        <w:rPr>
          <w:rFonts w:hint="eastAsia" w:ascii="仿宋_GB2312" w:hAnsi="仿宋_GB2312" w:eastAsia="仿宋_GB2312" w:cs="仿宋_GB2312"/>
          <w:bCs/>
          <w:sz w:val="32"/>
          <w:szCs w:val="32"/>
          <w:lang w:val="en-US" w:eastAsia="zh-CN"/>
        </w:rPr>
        <w:t>50</w:t>
      </w:r>
      <w:r>
        <w:rPr>
          <w:rFonts w:hint="eastAsia" w:ascii="仿宋_GB2312" w:hAnsi="仿宋_GB2312" w:eastAsia="仿宋_GB2312" w:cs="仿宋_GB2312"/>
          <w:bCs/>
          <w:sz w:val="32"/>
          <w:szCs w:val="32"/>
        </w:rPr>
        <w:t>%。其中，公务用车购置支出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万元（含购置税等附加费用）；公务用车运行维护费支出</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sz w:val="32"/>
          <w:szCs w:val="32"/>
        </w:rPr>
        <w:t>万元，主要用于公务用车燃料费、维修费、过桥过路费、保险费、安全奖励费用等支出</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highlight w:val="none"/>
        </w:rPr>
        <w:t>减少的主要原因是</w:t>
      </w:r>
      <w:r>
        <w:rPr>
          <w:rFonts w:hint="eastAsia" w:ascii="仿宋_GB2312" w:hAnsi="仿宋_GB2312" w:eastAsia="仿宋_GB2312" w:cs="仿宋_GB2312"/>
          <w:bCs/>
          <w:color w:val="auto"/>
          <w:sz w:val="32"/>
          <w:szCs w:val="32"/>
          <w:highlight w:val="none"/>
          <w:lang w:val="en-US" w:eastAsia="zh-CN"/>
        </w:rPr>
        <w:t>公务用车费用支出调整</w:t>
      </w:r>
      <w:r>
        <w:rPr>
          <w:rFonts w:hint="eastAsia" w:ascii="仿宋_GB2312" w:hAnsi="仿宋_GB2312" w:eastAsia="仿宋_GB2312" w:cs="仿宋_GB2312"/>
          <w:bCs/>
          <w:sz w:val="32"/>
          <w:szCs w:val="32"/>
          <w:highlight w:val="none"/>
        </w:rPr>
        <w:t>。</w:t>
      </w:r>
      <w:r>
        <w:rPr>
          <w:rFonts w:hint="eastAsia" w:ascii="楷体_GB2312" w:hAnsi="楷体_GB2312" w:eastAsia="楷体_GB2312" w:cs="楷体_GB2312"/>
          <w:b/>
          <w:sz w:val="32"/>
          <w:szCs w:val="32"/>
          <w:u w:val="single"/>
        </w:rPr>
        <w:t>（机要通信和应急公务用车经费单独说明）</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（十）其他重要事项的情况说明</w:t>
      </w:r>
    </w:p>
    <w:p>
      <w:pPr>
        <w:pStyle w:val="10"/>
        <w:numPr>
          <w:ilvl w:val="0"/>
          <w:numId w:val="0"/>
        </w:numPr>
        <w:overflowPunct/>
        <w:autoSpaceDE/>
        <w:autoSpaceDN/>
        <w:adjustRightInd/>
        <w:spacing w:line="52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0"/>
        <w:overflowPunct/>
        <w:autoSpaceDE/>
        <w:autoSpaceDN/>
        <w:adjustRightIn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color w:val="000000"/>
          <w:sz w:val="32"/>
          <w:szCs w:val="32"/>
        </w:rPr>
        <w:t>兰溪市乡镇建设处政府采购预算总额</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0"/>
        <w:numPr>
          <w:ilvl w:val="0"/>
          <w:numId w:val="2"/>
        </w:numPr>
        <w:overflowPunct/>
        <w:autoSpaceDE/>
        <w:autoSpaceDN/>
        <w:adjustRightInd/>
        <w:spacing w:line="560" w:lineRule="exact"/>
        <w:ind w:firstLine="6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国有资产占有使用情况  </w:t>
      </w:r>
    </w:p>
    <w:p>
      <w:pPr>
        <w:overflowPunct/>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截至2021年12月31日，</w:t>
      </w:r>
      <w:r>
        <w:rPr>
          <w:rFonts w:hint="eastAsia" w:ascii="仿宋_GB2312" w:hAnsi="仿宋_GB2312" w:eastAsia="仿宋_GB2312" w:cs="仿宋_GB2312"/>
          <w:bCs/>
          <w:color w:val="000000"/>
          <w:sz w:val="32"/>
          <w:szCs w:val="32"/>
        </w:rPr>
        <w:t>兰溪市乡镇建设处共有车辆1辆，其中，领导用车0辆、应急机要通信用车0辆、一般执法执勤用车0辆、行政执法专用车0辆、特种专业技术用车0辆、老干部服务用车0辆、其他用车1辆。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2022年部门预算未安排购置车辆、单位价值50万元以上通用设备及单位价值100万元以上专用设备）。</w:t>
      </w:r>
    </w:p>
    <w:p>
      <w:pPr>
        <w:pStyle w:val="10"/>
        <w:overflowPunct/>
        <w:autoSpaceDE/>
        <w:autoSpaceDN/>
        <w:adjustRightInd/>
        <w:spacing w:line="560" w:lineRule="exact"/>
        <w:textAlignment w:val="auto"/>
        <w:rPr>
          <w:rFonts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4.绩效目标设置情况</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2022年</w:t>
      </w:r>
      <w:r>
        <w:rPr>
          <w:rFonts w:hint="eastAsia" w:ascii="仿宋_GB2312" w:eastAsia="仿宋_GB2312"/>
          <w:color w:val="000000"/>
          <w:sz w:val="32"/>
          <w:szCs w:val="32"/>
        </w:rPr>
        <w:t>兰溪市乡镇建设处</w:t>
      </w:r>
      <w:r>
        <w:rPr>
          <w:rFonts w:hint="eastAsia" w:ascii="仿宋_GB2312" w:hAnsi="仿宋_GB2312" w:eastAsia="仿宋_GB2312" w:cs="仿宋_GB2312"/>
          <w:bCs/>
          <w:color w:val="000000"/>
          <w:sz w:val="32"/>
          <w:szCs w:val="32"/>
        </w:rPr>
        <w:t>其他运转类和特定目标类项目均实行绩效目标管理，涉及一般公共预算当年拨款</w:t>
      </w:r>
      <w:r>
        <w:rPr>
          <w:rFonts w:hint="eastAsia" w:ascii="仿宋_GB2312" w:hAnsi="仿宋_GB2312" w:eastAsia="仿宋_GB2312" w:cs="仿宋_GB2312"/>
          <w:bCs/>
          <w:color w:val="000000"/>
          <w:sz w:val="32"/>
          <w:szCs w:val="32"/>
          <w:lang w:val="en-US" w:eastAsia="zh-CN"/>
        </w:rPr>
        <w:t>864.5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sz w:val="32"/>
          <w:szCs w:val="32"/>
        </w:rPr>
        <w:t>一级项目</w:t>
      </w: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个。</w:t>
      </w:r>
    </w:p>
    <w:p>
      <w:pPr>
        <w:pStyle w:val="10"/>
        <w:overflowPunct/>
        <w:autoSpaceDE/>
        <w:autoSpaceDN/>
        <w:adjustRightInd/>
        <w:spacing w:line="560" w:lineRule="exact"/>
        <w:ind w:firstLine="643" w:firstLineChars="200"/>
        <w:textAlignment w:val="auto"/>
        <w:rPr>
          <w:rStyle w:val="7"/>
          <w:rFonts w:ascii="黑体" w:hAnsi="黑体" w:eastAsia="黑体" w:cs="黑体"/>
          <w:bCs w:val="0"/>
          <w:sz w:val="32"/>
          <w:szCs w:val="32"/>
        </w:rPr>
      </w:pPr>
      <w:r>
        <w:rPr>
          <w:rStyle w:val="7"/>
          <w:rFonts w:hint="eastAsia" w:ascii="黑体" w:hAnsi="黑体" w:eastAsia="黑体" w:cs="黑体"/>
          <w:bCs w:val="0"/>
          <w:sz w:val="32"/>
          <w:szCs w:val="32"/>
        </w:rPr>
        <w:t>三、名词解释</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13文化旅游体育与传媒（类）文物（款）历史名城与古迹（项）事务反映历史名城 、世界遗产规划与古迹保护等方面的支出。</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14. 卫生健康支出（类）行政事业单位医疗（款）事业单位医疗（项）：指反映财政部门安排的事业单位基本医疗保险缴费经费，未参加医疗保险的事业单位的公费医疗经费，按国家规定享受离休人员待遇的医疗经费。</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15城乡社区支出（类）城乡规划与管理（款）城乡规划与管理（项）：指反映城乡社区、防灾减灾、历史名城规划制定与管理等方面的支出。</w:t>
      </w:r>
    </w:p>
    <w:p>
      <w:pPr>
        <w:pStyle w:val="2"/>
        <w:rPr>
          <w:rFonts w:cs="仿宋_GB2312"/>
          <w:bCs/>
          <w:sz w:val="32"/>
          <w:szCs w:val="32"/>
        </w:rPr>
      </w:pPr>
      <w:r>
        <w:rPr>
          <w:szCs w:val="24"/>
        </w:rPr>
        <w:t xml:space="preserve">    </w:t>
      </w:r>
      <w:r>
        <w:rPr>
          <w:rFonts w:cs="仿宋_GB2312"/>
          <w:bCs/>
          <w:sz w:val="32"/>
          <w:szCs w:val="32"/>
        </w:rPr>
        <w:t xml:space="preserve"> 16 城乡社区支出（类）其他城乡社区支出（款）其他城乡社区支出：指反映上述项目以外，城市基础设施配套费对应专项债务收入安排的公益性资本支出。</w:t>
      </w:r>
    </w:p>
    <w:p>
      <w:pPr>
        <w:pStyle w:val="2"/>
        <w:rPr>
          <w:szCs w:val="24"/>
        </w:rPr>
      </w:pPr>
      <w:r>
        <w:rPr>
          <w:szCs w:val="24"/>
        </w:rPr>
        <w:t xml:space="preserve">     </w:t>
      </w:r>
      <w:r>
        <w:rPr>
          <w:rFonts w:cs="仿宋_GB2312"/>
          <w:bCs/>
          <w:sz w:val="32"/>
          <w:szCs w:val="32"/>
        </w:rPr>
        <w:t xml:space="preserve"> 17住房保障支出（类）保障性安居工程支出（款）农村危房改造（项）：指反映用于农村危房改造方面的支出。</w:t>
      </w:r>
    </w:p>
    <w:p>
      <w:pPr>
        <w:pStyle w:val="2"/>
        <w:rPr>
          <w:szCs w:val="24"/>
        </w:rPr>
      </w:pPr>
    </w:p>
    <w:p>
      <w:pPr>
        <w:jc w:val="left"/>
        <w:rPr>
          <w:rFonts w:hint="eastAsia"/>
        </w:rPr>
      </w:pPr>
    </w:p>
    <w:p>
      <w:pPr>
        <w:jc w:val="left"/>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- 5 -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00000DB"/>
    <w:rsid w:val="000738AB"/>
    <w:rsid w:val="000E0860"/>
    <w:rsid w:val="00324812"/>
    <w:rsid w:val="003666F7"/>
    <w:rsid w:val="003E3B1A"/>
    <w:rsid w:val="00624B34"/>
    <w:rsid w:val="0066667C"/>
    <w:rsid w:val="00A61335"/>
    <w:rsid w:val="00A94363"/>
    <w:rsid w:val="00BB0DA4"/>
    <w:rsid w:val="00C479A5"/>
    <w:rsid w:val="00CC0AA2"/>
    <w:rsid w:val="00CD41C9"/>
    <w:rsid w:val="00D34382"/>
    <w:rsid w:val="00D364FD"/>
    <w:rsid w:val="00DA517A"/>
    <w:rsid w:val="00DB184A"/>
    <w:rsid w:val="00FF6100"/>
    <w:rsid w:val="03532FA0"/>
    <w:rsid w:val="05E256B5"/>
    <w:rsid w:val="07080BFE"/>
    <w:rsid w:val="092A2287"/>
    <w:rsid w:val="09FC6E08"/>
    <w:rsid w:val="0FAF16CA"/>
    <w:rsid w:val="161E1882"/>
    <w:rsid w:val="17FC56FA"/>
    <w:rsid w:val="1C087479"/>
    <w:rsid w:val="1FB87FCF"/>
    <w:rsid w:val="25480C35"/>
    <w:rsid w:val="27A27C58"/>
    <w:rsid w:val="2AB067B4"/>
    <w:rsid w:val="2E800112"/>
    <w:rsid w:val="2FC17DC6"/>
    <w:rsid w:val="30CA623E"/>
    <w:rsid w:val="32B86836"/>
    <w:rsid w:val="35BD49A4"/>
    <w:rsid w:val="36131B1F"/>
    <w:rsid w:val="3F6E52E4"/>
    <w:rsid w:val="45651598"/>
    <w:rsid w:val="4916570F"/>
    <w:rsid w:val="4A486C43"/>
    <w:rsid w:val="4CFC5B4B"/>
    <w:rsid w:val="50E36F46"/>
    <w:rsid w:val="50E81899"/>
    <w:rsid w:val="526134DD"/>
    <w:rsid w:val="53105001"/>
    <w:rsid w:val="59ED410F"/>
    <w:rsid w:val="5AF57280"/>
    <w:rsid w:val="63D9423B"/>
    <w:rsid w:val="65C63539"/>
    <w:rsid w:val="66684AB6"/>
    <w:rsid w:val="68216884"/>
    <w:rsid w:val="6D724F45"/>
    <w:rsid w:val="6E4A691E"/>
    <w:rsid w:val="733F0258"/>
    <w:rsid w:val="73704E39"/>
    <w:rsid w:val="7A0A0BD4"/>
    <w:rsid w:val="7AA611EC"/>
    <w:rsid w:val="7B1B4AA7"/>
    <w:rsid w:val="7F974B9A"/>
    <w:rsid w:val="7FF1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Char"/>
    <w:basedOn w:val="1"/>
    <w:qFormat/>
    <w:uiPriority w:val="0"/>
    <w:rPr>
      <w:szCs w:val="24"/>
    </w:rPr>
  </w:style>
  <w:style w:type="paragraph" w:customStyle="1" w:styleId="10">
    <w:name w:val="p0"/>
    <w:basedOn w:val="1"/>
    <w:qFormat/>
    <w:uiPriority w:val="0"/>
    <w:rPr>
      <w:szCs w:val="21"/>
    </w:rPr>
  </w:style>
  <w:style w:type="character" w:customStyle="1" w:styleId="11">
    <w:name w:val="页眉 Char"/>
    <w:basedOn w:val="6"/>
    <w:link w:val="4"/>
    <w:qFormat/>
    <w:uiPriority w:val="0"/>
    <w:rPr>
      <w:sz w:val="18"/>
      <w:szCs w:val="18"/>
    </w:rPr>
  </w:style>
  <w:style w:type="paragraph" w:customStyle="1" w:styleId="12">
    <w:name w:val=" Char"/>
    <w:basedOn w:val="1"/>
    <w:qFormat/>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763</Words>
  <Characters>4352</Characters>
  <Lines>36</Lines>
  <Paragraphs>10</Paragraphs>
  <TotalTime>6</TotalTime>
  <ScaleCrop>false</ScaleCrop>
  <LinksUpToDate>false</LinksUpToDate>
  <CharactersWithSpaces>5105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2022-02-24T08:34:00Z</dcterms:created>
  <dc:creator>陈慧倩</dc:creator>
  <cp:lastModifiedBy>Administrator</cp:lastModifiedBy>
  <dcterms:modified xsi:type="dcterms:W3CDTF">2022-03-02T01:25:43Z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