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兰溪市兰溪市房地产管理处</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部门（单位）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兰溪市房地产管理处</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（九）关于兰溪市房地产管理处</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兰溪市房地产管理处部门预算表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（十一）2022年部门预算财政拨款重点项目支出预算表（单位不需公开</w:t>
      </w:r>
      <w:r>
        <w:rPr>
          <w:rFonts w:hint="default" w:ascii="楷体_GB2312" w:hAnsi="楷体_GB2312" w:eastAsia="楷体_GB2312" w:cs="楷体_GB2312"/>
          <w:b w:val="0"/>
          <w:bCs/>
          <w:sz w:val="32"/>
          <w:szCs w:val="32"/>
          <w:highlight w:val="none"/>
          <w:lang w:val="en" w:eastAsia="zh-CN"/>
        </w:rPr>
        <w:t>,</w:t>
      </w:r>
      <w:r>
        <w:rPr>
          <w:rFonts w:hint="eastAsia" w:ascii="楷体_GB2312" w:hAnsi="楷体_GB2312" w:eastAsia="楷体_GB2312" w:cs="楷体_GB2312"/>
          <w:b w:val="0"/>
          <w:bCs/>
          <w:sz w:val="32"/>
          <w:szCs w:val="32"/>
          <w:highlight w:val="none"/>
          <w:lang w:val="en" w:eastAsia="zh-CN"/>
        </w:rPr>
        <w:t>请自行删除</w:t>
      </w:r>
      <w:r>
        <w:rPr>
          <w:rFonts w:hint="eastAsia" w:ascii="楷体_GB2312" w:hAnsi="楷体_GB2312" w:eastAsia="楷体_GB2312" w:cs="楷体_GB2312"/>
          <w:b w:val="0"/>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2"/>
        <w:rPr>
          <w:rFonts w:hint="eastAsia"/>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兰溪市房地产管理处</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兰溪市房地产管理处是兰溪市住房和城乡建设局下属的行政职能部门，贯彻落实党中央、省委和市委关于房地产业、住房保障、白蚁防治工作的方针政策和决策部署，在履行职责过程中坚持和加强党对房地产业、住房保障、白蚁防治工作的集中统一领导。主要职责是：</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（一）贯彻执行国家有关房地产业、住房保障、白蚁防治工作的方针、政策和法律法规；</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（二）负责全市房产交易合同备案、抵押合同备案和租赁合同备案工作；</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（三）负责全市房产信息数据库的建设和管理；</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（四）负责全市直管公房的管理和维修服务；</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（五）配合做好全市公共租赁住房、经济适用住房的分配、管理和全市人才公寓的管理；</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（六）负责全市白蚁防治行业的业务指导；负责全市新建房屋的白蚁危害防治科普，参与防治工作；</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（七）完成市住房和城乡建设局交办的其他任务。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部门（单位）机构设置情况</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1.办公室：负责单位的日常运转协调，承担文秘、宣传、人事劳资、职称管理和教育培训工作；负责工作计划、总结等综合性材料的撰写；负责人大政协建议提案、领导重要批示件督办的督办工作。</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2.资金核算中心：负责单位的预决算、财务核算、内部审计和固定资产管理等工作。</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3.住房保障科：贯彻执行公共租赁房和经济适用住房的住房保障政策，负责公共租赁住房和经济适用住房的分配、管理；负责人才公寓的管理。</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4.公房管理科：负责经营性房产的经租管理。</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5.公房管理所：负责住宅直管公房的租赁管理和日常维修服务。</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6.房产管理服务中心：负责全市商品房和存量房的交易合同备案、抵押合同备案，房屋租赁合同备案工作。</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7.档案信息科：负责房地产监管分析，包括个人住房信息系统。</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8.白蚁防治站：负责全市新建房屋的白蚁预防和灭治工作；负责白蚁行业管理。</w:t>
      </w:r>
    </w:p>
    <w:p>
      <w:pPr>
        <w:numPr>
          <w:ilvl w:val="0"/>
          <w:numId w:val="0"/>
        </w:numPr>
        <w:autoSpaceDE w:val="0"/>
        <w:autoSpaceDN w:val="0"/>
        <w:adjustRightInd w:val="0"/>
        <w:jc w:val="left"/>
        <w:rPr>
          <w:rFonts w:hint="default" w:ascii="楷体_GB2312" w:hAnsi="楷体_GB2312" w:eastAsia="楷体_GB2312" w:cs="楷体_GB2312"/>
          <w:b w:val="0"/>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二、兰溪市房地产管理处</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房地产管理处</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pStyle w:val="2"/>
        <w:numPr>
          <w:ilvl w:val="0"/>
          <w:numId w:val="0"/>
        </w:numPr>
        <w:ind w:firstLine="640" w:firstLineChars="200"/>
        <w:rPr>
          <w:rFonts w:hint="eastAsia"/>
        </w:rPr>
      </w:pPr>
      <w:r>
        <w:rPr>
          <w:rFonts w:hint="eastAsia" w:ascii="仿宋_GB2312" w:hAnsi="仿宋_GB2312" w:eastAsia="仿宋_GB2312" w:cs="仿宋_GB2312"/>
          <w:bCs/>
          <w:sz w:val="32"/>
          <w:szCs w:val="32"/>
        </w:rPr>
        <w:t>按照综合预算的原则，兰溪市房地产管理处单位所有收入和支出均纳入部门预算管理。收入包括：一般公共预算拨款收入、财政专户管理资金收入、事业收入资金；支出按功能科目分包括：其他城乡社区住宅支出、公共租赁住房、保障性住房租金补贴、事业单位医疗。兰溪市房地产管理处单位202</w:t>
      </w:r>
      <w:r>
        <w:rPr>
          <w:rFonts w:hint="eastAsia" w:cs="仿宋_GB2312"/>
          <w:bCs/>
          <w:sz w:val="32"/>
          <w:szCs w:val="32"/>
          <w:lang w:val="en-US" w:eastAsia="zh-CN"/>
        </w:rPr>
        <w:t>2</w:t>
      </w:r>
      <w:r>
        <w:rPr>
          <w:rFonts w:hint="eastAsia" w:ascii="仿宋_GB2312" w:hAnsi="仿宋_GB2312" w:eastAsia="仿宋_GB2312" w:cs="仿宋_GB2312"/>
          <w:bCs/>
          <w:sz w:val="32"/>
          <w:szCs w:val="32"/>
        </w:rPr>
        <w:t>年收支总预算</w:t>
      </w:r>
      <w:r>
        <w:rPr>
          <w:rFonts w:hint="eastAsia" w:cs="仿宋_GB2312"/>
          <w:bCs/>
          <w:sz w:val="32"/>
          <w:szCs w:val="32"/>
          <w:lang w:val="en-US" w:eastAsia="zh-CN"/>
        </w:rPr>
        <w:t>1774.97</w:t>
      </w:r>
      <w:r>
        <w:rPr>
          <w:rFonts w:hint="eastAsia" w:ascii="仿宋_GB2312" w:hAnsi="仿宋_GB2312" w:eastAsia="仿宋_GB2312" w:cs="仿宋_GB2312"/>
          <w:bCs/>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pStyle w:val="2"/>
        <w:numPr>
          <w:ilvl w:val="0"/>
          <w:numId w:val="0"/>
        </w:numPr>
        <w:ind w:leftChars="200" w:firstLine="640" w:firstLineChars="200"/>
        <w:rPr>
          <w:rFonts w:hint="eastAsia"/>
        </w:rPr>
      </w:pP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房地产管理处单位</w:t>
      </w:r>
      <w:r>
        <w:rPr>
          <w:rFonts w:ascii="仿宋_GB2312" w:hAnsi="仿宋_GB2312" w:eastAsia="仿宋_GB2312" w:cs="仿宋_GB2312"/>
          <w:bCs/>
          <w:color w:val="000000"/>
          <w:sz w:val="32"/>
          <w:szCs w:val="32"/>
        </w:rPr>
        <w:t>202</w:t>
      </w:r>
      <w:r>
        <w:rPr>
          <w:rFonts w:hint="eastAsia" w:cs="仿宋_GB2312"/>
          <w:bCs/>
          <w:color w:val="000000"/>
          <w:sz w:val="32"/>
          <w:szCs w:val="32"/>
          <w:lang w:val="en-US" w:eastAsia="zh-CN"/>
        </w:rPr>
        <w:t>2</w:t>
      </w:r>
      <w:r>
        <w:rPr>
          <w:rFonts w:hint="eastAsia" w:ascii="仿宋_GB2312" w:hAnsi="仿宋_GB2312" w:eastAsia="仿宋_GB2312" w:cs="仿宋_GB2312"/>
          <w:bCs/>
          <w:color w:val="000000"/>
          <w:sz w:val="32"/>
          <w:szCs w:val="32"/>
        </w:rPr>
        <w:t>年收入预算</w:t>
      </w:r>
      <w:r>
        <w:rPr>
          <w:rFonts w:hint="eastAsia" w:cs="仿宋_GB2312"/>
          <w:bCs/>
          <w:color w:val="000000"/>
          <w:sz w:val="32"/>
          <w:szCs w:val="32"/>
          <w:lang w:val="en-US" w:eastAsia="zh-CN"/>
        </w:rPr>
        <w:t>1774.97</w:t>
      </w:r>
      <w:r>
        <w:rPr>
          <w:rFonts w:hint="eastAsia" w:ascii="仿宋_GB2312" w:hAnsi="仿宋_GB2312" w:eastAsia="仿宋_GB2312" w:cs="仿宋_GB2312"/>
          <w:bCs/>
          <w:color w:val="000000"/>
          <w:sz w:val="32"/>
          <w:szCs w:val="32"/>
        </w:rPr>
        <w:t>万元，其中：一般公共预算拨款收入</w:t>
      </w:r>
      <w:r>
        <w:rPr>
          <w:rFonts w:hint="eastAsia" w:cs="仿宋_GB2312"/>
          <w:bCs/>
          <w:color w:val="000000"/>
          <w:sz w:val="32"/>
          <w:szCs w:val="32"/>
          <w:lang w:val="en-US" w:eastAsia="zh-CN"/>
        </w:rPr>
        <w:t>1339.81</w:t>
      </w:r>
      <w:r>
        <w:rPr>
          <w:rFonts w:hint="eastAsia" w:ascii="仿宋_GB2312" w:hAnsi="仿宋_GB2312" w:eastAsia="仿宋_GB2312" w:cs="仿宋_GB2312"/>
          <w:bCs/>
          <w:color w:val="000000"/>
          <w:sz w:val="32"/>
          <w:szCs w:val="32"/>
        </w:rPr>
        <w:t>万元，占</w:t>
      </w:r>
      <w:r>
        <w:rPr>
          <w:rFonts w:hint="eastAsia" w:cs="仿宋_GB2312"/>
          <w:bCs/>
          <w:color w:val="000000"/>
          <w:sz w:val="32"/>
          <w:szCs w:val="32"/>
          <w:lang w:val="en-US" w:eastAsia="zh-CN"/>
        </w:rPr>
        <w:t>75.48</w:t>
      </w: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专户资金</w:t>
      </w:r>
      <w:r>
        <w:rPr>
          <w:rFonts w:hint="eastAsia" w:cs="仿宋_GB2312"/>
          <w:bCs/>
          <w:color w:val="000000"/>
          <w:sz w:val="32"/>
          <w:szCs w:val="32"/>
          <w:lang w:val="en-US" w:eastAsia="zh-CN"/>
        </w:rPr>
        <w:t>27</w:t>
      </w: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万元，占</w:t>
      </w:r>
      <w:r>
        <w:rPr>
          <w:rFonts w:hint="eastAsia" w:cs="仿宋_GB2312"/>
          <w:bCs/>
          <w:color w:val="000000"/>
          <w:sz w:val="32"/>
          <w:szCs w:val="32"/>
          <w:lang w:val="en-US" w:eastAsia="zh-CN"/>
        </w:rPr>
        <w:t>1.52</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事业收入资金</w:t>
      </w:r>
      <w:r>
        <w:rPr>
          <w:rFonts w:hint="eastAsia" w:cs="仿宋_GB2312"/>
          <w:color w:val="000000"/>
          <w:sz w:val="32"/>
          <w:szCs w:val="32"/>
          <w:lang w:val="en-US" w:eastAsia="zh-CN"/>
        </w:rPr>
        <w:t>408.16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color w:val="000000"/>
          <w:sz w:val="32"/>
          <w:szCs w:val="32"/>
        </w:rPr>
        <w:t>，占</w:t>
      </w:r>
      <w:r>
        <w:rPr>
          <w:rFonts w:hint="eastAsia" w:cs="仿宋_GB2312"/>
          <w:bCs/>
          <w:color w:val="000000"/>
          <w:sz w:val="32"/>
          <w:szCs w:val="32"/>
          <w:lang w:val="en-US" w:eastAsia="zh-CN"/>
        </w:rPr>
        <w:t>23</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w:t>
      </w:r>
    </w:p>
    <w:p>
      <w:pPr>
        <w:widowControl w:val="0"/>
        <w:overflowPunct/>
        <w:autoSpaceDE/>
        <w:autoSpaceDN/>
        <w:adjustRightInd/>
        <w:spacing w:line="560" w:lineRule="exact"/>
        <w:ind w:firstLine="321" w:firstLineChars="100"/>
        <w:textAlignment w:val="auto"/>
        <w:rPr>
          <w:rFonts w:ascii="仿宋_GB2312" w:hAnsi="仿宋_GB2312" w:eastAsia="仿宋_GB2312" w:cs="仿宋_GB2312"/>
          <w:bCs/>
          <w:color w:val="000000"/>
          <w:sz w:val="32"/>
          <w:szCs w:val="32"/>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年支出预算</w:t>
      </w:r>
      <w:r>
        <w:rPr>
          <w:rFonts w:hint="eastAsia" w:ascii="仿宋_GB2312" w:hAnsi="仿宋_GB2312" w:eastAsia="仿宋_GB2312" w:cs="仿宋_GB2312"/>
          <w:bCs/>
          <w:color w:val="000000"/>
          <w:sz w:val="32"/>
          <w:szCs w:val="32"/>
          <w:lang w:val="en-US" w:eastAsia="zh-CN"/>
        </w:rPr>
        <w:t>1774.97</w:t>
      </w:r>
      <w:r>
        <w:rPr>
          <w:rFonts w:hint="eastAsia" w:ascii="仿宋_GB2312" w:hAnsi="仿宋_GB2312" w:eastAsia="仿宋_GB2312" w:cs="仿宋_GB2312"/>
          <w:bCs/>
          <w:color w:val="000000"/>
          <w:sz w:val="32"/>
          <w:szCs w:val="32"/>
        </w:rPr>
        <w:t>万元。</w:t>
      </w:r>
    </w:p>
    <w:p>
      <w:pPr>
        <w:numPr>
          <w:ilvl w:val="0"/>
          <w:numId w:val="1"/>
        </w:numPr>
        <w:overflowPunct/>
        <w:autoSpaceDE/>
        <w:autoSpaceDN/>
        <w:adjustRightInd/>
        <w:spacing w:line="560" w:lineRule="exact"/>
        <w:ind w:firstLine="63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按支出功能分类，包括其他城乡社区住宅支出</w:t>
      </w:r>
      <w:r>
        <w:rPr>
          <w:rFonts w:hint="eastAsia" w:ascii="仿宋_GB2312" w:hAnsi="仿宋_GB2312" w:eastAsia="仿宋_GB2312" w:cs="仿宋_GB2312"/>
          <w:bCs/>
          <w:color w:val="000000"/>
          <w:sz w:val="32"/>
          <w:szCs w:val="32"/>
          <w:lang w:val="en-US" w:eastAsia="zh-CN"/>
        </w:rPr>
        <w:t>1498.1</w:t>
      </w:r>
      <w:r>
        <w:rPr>
          <w:rFonts w:hint="eastAsia" w:ascii="仿宋_GB2312" w:hAnsi="仿宋_GB2312" w:eastAsia="仿宋_GB2312" w:cs="仿宋_GB2312"/>
          <w:bCs/>
          <w:color w:val="000000"/>
          <w:sz w:val="32"/>
          <w:szCs w:val="32"/>
        </w:rPr>
        <w:t>万元、公共租赁住房</w:t>
      </w:r>
      <w:r>
        <w:rPr>
          <w:rFonts w:hint="eastAsia" w:ascii="仿宋_GB2312" w:hAnsi="仿宋_GB2312" w:eastAsia="仿宋_GB2312" w:cs="仿宋_GB2312"/>
          <w:bCs/>
          <w:color w:val="000000"/>
          <w:sz w:val="32"/>
          <w:szCs w:val="32"/>
          <w:lang w:val="en-US" w:eastAsia="zh-CN"/>
        </w:rPr>
        <w:t>115</w:t>
      </w:r>
      <w:r>
        <w:rPr>
          <w:rFonts w:hint="eastAsia" w:ascii="仿宋_GB2312" w:hAnsi="仿宋_GB2312" w:eastAsia="仿宋_GB2312" w:cs="仿宋_GB2312"/>
          <w:bCs/>
          <w:color w:val="000000"/>
          <w:sz w:val="32"/>
          <w:szCs w:val="32"/>
        </w:rPr>
        <w:t>万元、保障性住房租金补贴</w:t>
      </w:r>
      <w:r>
        <w:rPr>
          <w:rFonts w:hint="eastAsia" w:ascii="仿宋_GB2312" w:hAnsi="仿宋_GB2312" w:eastAsia="仿宋_GB2312" w:cs="仿宋_GB2312"/>
          <w:bCs/>
          <w:color w:val="000000"/>
          <w:sz w:val="32"/>
          <w:szCs w:val="32"/>
          <w:lang w:val="en-US" w:eastAsia="zh-CN"/>
        </w:rPr>
        <w:t>134</w:t>
      </w:r>
      <w:r>
        <w:rPr>
          <w:rFonts w:hint="eastAsia" w:ascii="仿宋_GB2312" w:hAnsi="仿宋_GB2312" w:eastAsia="仿宋_GB2312" w:cs="仿宋_GB2312"/>
          <w:bCs/>
          <w:color w:val="000000"/>
          <w:sz w:val="32"/>
          <w:szCs w:val="32"/>
        </w:rPr>
        <w:t>万元、事业单位医疗</w:t>
      </w:r>
      <w:r>
        <w:rPr>
          <w:rFonts w:hint="eastAsia" w:ascii="仿宋_GB2312" w:hAnsi="仿宋_GB2312" w:eastAsia="仿宋_GB2312" w:cs="仿宋_GB2312"/>
          <w:bCs/>
          <w:color w:val="000000"/>
          <w:sz w:val="32"/>
          <w:szCs w:val="32"/>
          <w:lang w:val="en-US" w:eastAsia="zh-CN"/>
        </w:rPr>
        <w:t>27.87</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0" w:firstLineChars="200"/>
        <w:textAlignment w:val="auto"/>
        <w:rPr>
          <w:rFonts w:hint="eastAsia" w:ascii="楷体_GB2312" w:hAnsi="楷体_GB2312" w:eastAsia="楷体_GB2312" w:cs="楷体_GB2312"/>
          <w:b/>
          <w:bCs w:val="0"/>
          <w:color w:val="000000"/>
          <w:sz w:val="32"/>
          <w:szCs w:val="32"/>
          <w:highlight w:val="none"/>
          <w:u w:val="single"/>
        </w:rPr>
      </w:pP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按支出用途分类，包括人员支出</w:t>
      </w:r>
      <w:r>
        <w:rPr>
          <w:rFonts w:hint="eastAsia" w:ascii="仿宋_GB2312" w:hAnsi="仿宋_GB2312" w:eastAsia="仿宋_GB2312" w:cs="仿宋_GB2312"/>
          <w:bCs/>
          <w:color w:val="000000"/>
          <w:sz w:val="32"/>
          <w:szCs w:val="32"/>
          <w:lang w:val="en-US" w:eastAsia="zh-CN"/>
        </w:rPr>
        <w:t>1035.31</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58.33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52.5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2.96</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687.16</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38.71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overflowPunct/>
        <w:autoSpaceDE/>
        <w:autoSpaceDN/>
        <w:adjustRightInd/>
        <w:spacing w:line="560" w:lineRule="exact"/>
        <w:ind w:firstLine="640"/>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年财政拨款收支总预算</w:t>
      </w:r>
      <w:r>
        <w:rPr>
          <w:rFonts w:hint="eastAsia" w:ascii="仿宋_GB2312" w:hAnsi="仿宋_GB2312" w:eastAsia="仿宋_GB2312" w:cs="仿宋_GB2312"/>
          <w:bCs/>
          <w:color w:val="000000"/>
          <w:sz w:val="32"/>
          <w:szCs w:val="32"/>
          <w:lang w:val="en-US" w:eastAsia="zh-CN"/>
        </w:rPr>
        <w:t>1339.81</w:t>
      </w:r>
      <w:r>
        <w:rPr>
          <w:rFonts w:hint="eastAsia" w:ascii="仿宋_GB2312" w:hAnsi="仿宋_GB2312" w:eastAsia="仿宋_GB2312" w:cs="仿宋_GB2312"/>
          <w:bCs/>
          <w:color w:val="000000"/>
          <w:sz w:val="32"/>
          <w:szCs w:val="32"/>
        </w:rPr>
        <w:t>万元。包括：一般公共预算资金本级收入</w:t>
      </w:r>
      <w:r>
        <w:rPr>
          <w:rFonts w:hint="eastAsia" w:ascii="仿宋_GB2312" w:hAnsi="仿宋_GB2312" w:eastAsia="仿宋_GB2312" w:cs="仿宋_GB2312"/>
          <w:bCs/>
          <w:color w:val="000000"/>
          <w:sz w:val="32"/>
          <w:szCs w:val="32"/>
          <w:lang w:val="en-US" w:eastAsia="zh-CN"/>
        </w:rPr>
        <w:t>1339.81</w:t>
      </w:r>
      <w:r>
        <w:rPr>
          <w:rFonts w:hint="eastAsia" w:ascii="仿宋_GB2312" w:hAnsi="仿宋_GB2312" w:eastAsia="仿宋_GB2312" w:cs="仿宋_GB2312"/>
          <w:bCs/>
          <w:color w:val="000000"/>
          <w:sz w:val="32"/>
          <w:szCs w:val="32"/>
        </w:rPr>
        <w:t>万元。支出包括：卫生健康支出</w:t>
      </w:r>
      <w:r>
        <w:rPr>
          <w:rFonts w:hint="eastAsia" w:ascii="仿宋_GB2312" w:hAnsi="仿宋_GB2312" w:eastAsia="仿宋_GB2312" w:cs="仿宋_GB2312"/>
          <w:bCs/>
          <w:color w:val="000000"/>
          <w:sz w:val="32"/>
          <w:szCs w:val="32"/>
          <w:lang w:val="en-US" w:eastAsia="zh-CN"/>
        </w:rPr>
        <w:t>27.87</w:t>
      </w:r>
      <w:r>
        <w:rPr>
          <w:rFonts w:hint="eastAsia" w:ascii="仿宋_GB2312" w:hAnsi="仿宋_GB2312" w:eastAsia="仿宋_GB2312" w:cs="仿宋_GB2312"/>
          <w:bCs/>
          <w:color w:val="000000"/>
          <w:sz w:val="32"/>
          <w:szCs w:val="32"/>
        </w:rPr>
        <w:t>万元、住房保障支出</w:t>
      </w:r>
      <w:r>
        <w:rPr>
          <w:rFonts w:hint="eastAsia" w:ascii="仿宋_GB2312" w:hAnsi="仿宋_GB2312" w:eastAsia="仿宋_GB2312" w:cs="仿宋_GB2312"/>
          <w:bCs/>
          <w:color w:val="000000"/>
          <w:sz w:val="32"/>
          <w:szCs w:val="32"/>
          <w:lang w:val="en-US" w:eastAsia="zh-CN"/>
        </w:rPr>
        <w:t>1311.94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年一般公共预算当年拨款</w:t>
      </w:r>
      <w:r>
        <w:rPr>
          <w:rFonts w:hint="eastAsia" w:ascii="仿宋_GB2312" w:hAnsi="仿宋_GB2312" w:eastAsia="仿宋_GB2312" w:cs="仿宋_GB2312"/>
          <w:bCs/>
          <w:color w:val="000000"/>
          <w:sz w:val="32"/>
          <w:szCs w:val="32"/>
          <w:lang w:val="en-US" w:eastAsia="zh-CN"/>
        </w:rPr>
        <w:t>1339.81</w:t>
      </w:r>
      <w:r>
        <w:rPr>
          <w:rFonts w:hint="eastAsia" w:ascii="仿宋_GB2312" w:hAnsi="仿宋_GB2312" w:eastAsia="仿宋_GB2312" w:cs="仿宋_GB2312"/>
          <w:bCs/>
          <w:color w:val="000000"/>
          <w:sz w:val="32"/>
          <w:szCs w:val="32"/>
        </w:rPr>
        <w:t>万元，比上年执行数</w:t>
      </w:r>
      <w:r>
        <w:rPr>
          <w:rFonts w:hint="eastAsia" w:ascii="仿宋_GB2312" w:hAnsi="仿宋_GB2312" w:eastAsia="仿宋_GB2312" w:cs="仿宋_GB2312"/>
          <w:bCs/>
          <w:color w:val="000000"/>
          <w:sz w:val="32"/>
          <w:szCs w:val="32"/>
          <w:lang w:eastAsia="zh-CN"/>
        </w:rPr>
        <w:t>减少</w:t>
      </w:r>
      <w:r>
        <w:rPr>
          <w:rFonts w:hint="eastAsia" w:ascii="仿宋_GB2312" w:hAnsi="仿宋_GB2312" w:eastAsia="仿宋_GB2312" w:cs="仿宋_GB2312"/>
          <w:bCs/>
          <w:color w:val="000000"/>
          <w:sz w:val="32"/>
          <w:szCs w:val="32"/>
          <w:lang w:val="en-US" w:eastAsia="zh-CN"/>
        </w:rPr>
        <w:t>307.7</w:t>
      </w:r>
      <w:r>
        <w:rPr>
          <w:rFonts w:hint="eastAsia" w:ascii="仿宋_GB2312" w:hAnsi="仿宋_GB2312" w:eastAsia="仿宋_GB2312" w:cs="仿宋_GB2312"/>
          <w:bCs/>
          <w:color w:val="000000"/>
          <w:sz w:val="32"/>
          <w:szCs w:val="32"/>
        </w:rPr>
        <w:t>万元，主要是</w:t>
      </w:r>
      <w:r>
        <w:rPr>
          <w:rFonts w:hint="eastAsia" w:ascii="仿宋_GB2312" w:hAnsi="仿宋_GB2312" w:eastAsia="仿宋_GB2312" w:cs="仿宋_GB2312"/>
          <w:bCs/>
          <w:color w:val="000000"/>
          <w:sz w:val="32"/>
          <w:szCs w:val="32"/>
          <w:lang w:eastAsia="zh-CN"/>
        </w:rPr>
        <w:t>人员退休，经费减少，以及</w:t>
      </w:r>
      <w:r>
        <w:rPr>
          <w:rFonts w:hint="eastAsia" w:ascii="仿宋_GB2312" w:hAnsi="仿宋_GB2312" w:eastAsia="仿宋_GB2312" w:cs="仿宋_GB2312"/>
          <w:bCs/>
          <w:color w:val="000000"/>
          <w:sz w:val="32"/>
          <w:szCs w:val="32"/>
          <w:lang w:val="en-US" w:eastAsia="zh-CN"/>
        </w:rPr>
        <w:t>兰溪市城镇住宅危房（C级）实质性解危项目经费减少</w:t>
      </w:r>
      <w:r>
        <w:rPr>
          <w:rFonts w:hint="eastAsia" w:ascii="仿宋_GB2312" w:hAnsi="仿宋_GB2312" w:eastAsia="仿宋_GB2312" w:cs="仿宋_GB2312"/>
          <w:bCs/>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overflowPunct/>
        <w:autoSpaceDE/>
        <w:autoSpaceDN/>
        <w:adjustRightInd/>
        <w:spacing w:line="560" w:lineRule="exact"/>
        <w:ind w:firstLine="640"/>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27.87</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2.08</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；住房保障支出</w:t>
      </w:r>
      <w:r>
        <w:rPr>
          <w:rFonts w:hint="eastAsia" w:ascii="仿宋_GB2312" w:hAnsi="仿宋_GB2312" w:eastAsia="仿宋_GB2312" w:cs="仿宋_GB2312"/>
          <w:bCs/>
          <w:color w:val="000000"/>
          <w:sz w:val="32"/>
          <w:szCs w:val="32"/>
          <w:lang w:val="en-US" w:eastAsia="zh-CN"/>
        </w:rPr>
        <w:t>1311.94</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97.92</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spacing w:line="600" w:lineRule="exact"/>
        <w:ind w:firstLine="640" w:firstLineChars="200"/>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）城乡社区支出（类）行政事业单位医疗（款）事业单位医疗（项）</w:t>
      </w:r>
      <w:r>
        <w:rPr>
          <w:rFonts w:hint="eastAsia" w:ascii="仿宋_GB2312" w:eastAsia="仿宋_GB2312" w:cs="仿宋_GB2312"/>
          <w:sz w:val="32"/>
          <w:szCs w:val="32"/>
          <w:lang w:val="en-US" w:eastAsia="zh-CN"/>
        </w:rPr>
        <w:t>27.87</w:t>
      </w:r>
      <w:r>
        <w:rPr>
          <w:rFonts w:hint="eastAsia" w:ascii="仿宋_GB2312" w:eastAsia="仿宋_GB2312" w:cs="仿宋_GB2312"/>
          <w:sz w:val="32"/>
          <w:szCs w:val="32"/>
        </w:rPr>
        <w:t>万元，主要用于财政部门安排的事业单位基本医疗保险缴费经费，未参加医疗保险的事业单位的公费医疗经费，按国家规定享受离休人员待遇的医疗经费。</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）住房保障支出（类）保障性安居工程支出（款）公共租赁住房（项）</w:t>
      </w:r>
      <w:r>
        <w:rPr>
          <w:rFonts w:hint="eastAsia" w:ascii="仿宋_GB2312" w:eastAsia="仿宋_GB2312" w:cs="仿宋_GB2312"/>
          <w:sz w:val="32"/>
          <w:szCs w:val="32"/>
          <w:lang w:val="en-US" w:eastAsia="zh-CN"/>
        </w:rPr>
        <w:t>115</w:t>
      </w:r>
      <w:r>
        <w:rPr>
          <w:rFonts w:hint="eastAsia" w:ascii="仿宋_GB2312" w:eastAsia="仿宋_GB2312" w:cs="仿宋_GB2312"/>
          <w:sz w:val="32"/>
          <w:szCs w:val="32"/>
        </w:rPr>
        <w:t>万元，主要用于新建、改建、购买、租赁、维护和管理公共租赁住房支出。</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）住房保障支出（类）保障性安居工程支出（款）保障性住房租金补贴（项）</w:t>
      </w:r>
      <w:r>
        <w:rPr>
          <w:rFonts w:hint="eastAsia" w:ascii="仿宋_GB2312" w:eastAsia="仿宋_GB2312" w:cs="仿宋_GB2312"/>
          <w:sz w:val="32"/>
          <w:szCs w:val="32"/>
          <w:lang w:val="en-US" w:eastAsia="zh-CN"/>
        </w:rPr>
        <w:t>134</w:t>
      </w:r>
      <w:r>
        <w:rPr>
          <w:rFonts w:hint="eastAsia" w:ascii="仿宋_GB2312" w:eastAsia="仿宋_GB2312" w:cs="仿宋_GB2312"/>
          <w:sz w:val="32"/>
          <w:szCs w:val="32"/>
        </w:rPr>
        <w:t>万元，主要用于各级政府向低收入住房保障家庭发放的住房租赁补贴支出。</w:t>
      </w:r>
    </w:p>
    <w:p>
      <w:pPr>
        <w:overflowPunct/>
        <w:autoSpaceDE/>
        <w:autoSpaceDN/>
        <w:adjustRightInd/>
        <w:spacing w:line="560" w:lineRule="exact"/>
        <w:ind w:firstLine="640"/>
        <w:jc w:val="left"/>
        <w:textAlignment w:val="auto"/>
        <w:rPr>
          <w:rFonts w:ascii="仿宋_GB2312" w:hAnsi="仿宋_GB2312" w:eastAsia="仿宋_GB2312" w:cs="仿宋_GB2312"/>
          <w:bCs/>
          <w:color w:val="000000"/>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）城乡社区支出（类）其他城乡社区支出（款）其他城乡社区支出（项）</w:t>
      </w:r>
      <w:r>
        <w:rPr>
          <w:rFonts w:hint="eastAsia" w:ascii="仿宋_GB2312" w:eastAsia="仿宋_GB2312" w:cs="仿宋_GB2312"/>
          <w:sz w:val="32"/>
          <w:szCs w:val="32"/>
          <w:lang w:val="en-US" w:eastAsia="zh-CN"/>
        </w:rPr>
        <w:t>1062.94</w:t>
      </w:r>
      <w:r>
        <w:rPr>
          <w:rFonts w:hint="eastAsia" w:ascii="仿宋_GB2312" w:eastAsia="仿宋_GB2312" w:cs="仿宋_GB2312"/>
          <w:sz w:val="32"/>
          <w:szCs w:val="32"/>
        </w:rPr>
        <w:t>万元，主要用于城乡社区其他方面事务的支出。</w:t>
      </w:r>
    </w:p>
    <w:p>
      <w:pPr>
        <w:pStyle w:val="2"/>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年一般公共预算基本支出</w:t>
      </w:r>
      <w:r>
        <w:rPr>
          <w:rFonts w:hint="eastAsia" w:ascii="仿宋_GB2312" w:hAnsi="仿宋_GB2312" w:eastAsia="仿宋_GB2312" w:cs="仿宋_GB2312"/>
          <w:bCs/>
          <w:color w:val="000000"/>
          <w:sz w:val="32"/>
          <w:szCs w:val="32"/>
          <w:lang w:val="en-US" w:eastAsia="zh-CN"/>
        </w:rPr>
        <w:t>1089.91</w:t>
      </w:r>
      <w:r>
        <w:rPr>
          <w:rFonts w:hint="eastAsia" w:ascii="仿宋_GB2312" w:hAnsi="仿宋_GB2312" w:eastAsia="仿宋_GB2312" w:cs="仿宋_GB2312"/>
          <w:bCs/>
          <w:color w:val="000000"/>
          <w:sz w:val="32"/>
          <w:szCs w:val="32"/>
        </w:rPr>
        <w:t>万元，其中：</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w:t>
      </w:r>
      <w:r>
        <w:rPr>
          <w:rFonts w:hint="eastAsia" w:ascii="仿宋_GB2312" w:hAnsi="仿宋_GB2312" w:eastAsia="仿宋_GB2312" w:cs="仿宋_GB2312"/>
          <w:bCs/>
          <w:color w:val="000000"/>
          <w:sz w:val="32"/>
          <w:szCs w:val="32"/>
          <w:lang w:val="en-US" w:eastAsia="zh-CN"/>
        </w:rPr>
        <w:t>1035.31</w:t>
      </w:r>
      <w:r>
        <w:rPr>
          <w:rFonts w:hint="eastAsia" w:ascii="仿宋_GB2312" w:hAnsi="仿宋_GB2312" w:eastAsia="仿宋_GB2312" w:cs="仿宋_GB2312"/>
          <w:bCs/>
          <w:color w:val="000000"/>
          <w:sz w:val="32"/>
          <w:szCs w:val="32"/>
        </w:rPr>
        <w:t>万元，主要包括：</w:t>
      </w:r>
      <w:r>
        <w:rPr>
          <w:rFonts w:hint="eastAsia" w:ascii="仿宋_GB2312" w:hAnsi="仿宋_GB2312" w:eastAsia="仿宋_GB2312" w:cs="仿宋_GB2312"/>
          <w:bCs/>
          <w:color w:val="000000"/>
          <w:sz w:val="32"/>
          <w:szCs w:val="32"/>
          <w:lang w:eastAsia="zh-CN"/>
        </w:rPr>
        <w:t>基本</w:t>
      </w:r>
      <w:r>
        <w:rPr>
          <w:rFonts w:hint="eastAsia" w:ascii="仿宋_GB2312" w:hAnsi="仿宋_GB2312" w:eastAsia="仿宋_GB2312" w:cs="仿宋_GB2312"/>
          <w:bCs/>
          <w:color w:val="000000"/>
          <w:sz w:val="32"/>
          <w:szCs w:val="32"/>
        </w:rPr>
        <w:t>工资、津贴补贴、奖金、</w:t>
      </w:r>
      <w:r>
        <w:rPr>
          <w:rFonts w:hint="eastAsia" w:ascii="仿宋_GB2312" w:hAnsi="仿宋_GB2312" w:eastAsia="仿宋_GB2312" w:cs="仿宋_GB2312"/>
          <w:bCs/>
          <w:color w:val="000000"/>
          <w:sz w:val="32"/>
          <w:szCs w:val="32"/>
          <w:lang w:eastAsia="zh-CN"/>
        </w:rPr>
        <w:t>机关事业单位养老保险缴费、职业年金缴费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其他社会保障缴费、</w:t>
      </w:r>
      <w:r>
        <w:rPr>
          <w:rFonts w:hint="eastAsia" w:ascii="仿宋_GB2312" w:hAnsi="仿宋_GB2312" w:eastAsia="仿宋_GB2312" w:cs="仿宋_GB2312"/>
          <w:bCs/>
          <w:color w:val="000000"/>
          <w:sz w:val="32"/>
          <w:szCs w:val="32"/>
        </w:rPr>
        <w:t>绩效工资、其他工资福利支出、</w:t>
      </w:r>
      <w:r>
        <w:rPr>
          <w:rFonts w:hint="eastAsia" w:ascii="仿宋_GB2312" w:hAnsi="仿宋_GB2312" w:eastAsia="仿宋_GB2312" w:cs="仿宋_GB2312"/>
          <w:bCs/>
          <w:color w:val="000000"/>
          <w:sz w:val="32"/>
          <w:szCs w:val="32"/>
          <w:lang w:eastAsia="zh-CN"/>
        </w:rPr>
        <w:t>退休费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职工基本医疗保障缴费</w:t>
      </w:r>
      <w:r>
        <w:rPr>
          <w:rFonts w:hint="eastAsia" w:ascii="仿宋_GB2312" w:hAnsi="仿宋_GB2312" w:eastAsia="仿宋_GB2312" w:cs="仿宋_GB2312"/>
          <w:bCs/>
          <w:color w:val="000000"/>
          <w:sz w:val="32"/>
          <w:szCs w:val="32"/>
        </w:rPr>
        <w:t>、住房公积金、其他对个人和家庭的补助支出；</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w:t>
      </w:r>
      <w:r>
        <w:rPr>
          <w:rFonts w:hint="eastAsia" w:ascii="仿宋_GB2312" w:hAnsi="仿宋_GB2312" w:eastAsia="仿宋_GB2312" w:cs="仿宋_GB2312"/>
          <w:bCs/>
          <w:color w:val="000000"/>
          <w:sz w:val="32"/>
          <w:szCs w:val="32"/>
          <w:lang w:val="en-US" w:eastAsia="zh-CN"/>
        </w:rPr>
        <w:t>52.5</w:t>
      </w:r>
      <w:r>
        <w:rPr>
          <w:rFonts w:hint="eastAsia" w:ascii="仿宋_GB2312" w:hAnsi="仿宋_GB2312" w:eastAsia="仿宋_GB2312" w:cs="仿宋_GB2312"/>
          <w:bCs/>
          <w:color w:val="000000"/>
          <w:sz w:val="32"/>
          <w:szCs w:val="32"/>
        </w:rPr>
        <w:t>万元，主要包括：办公费、印刷费、</w:t>
      </w:r>
      <w:r>
        <w:rPr>
          <w:rFonts w:hint="eastAsia" w:ascii="仿宋_GB2312" w:hAnsi="仿宋_GB2312" w:eastAsia="仿宋_GB2312" w:cs="仿宋_GB2312"/>
          <w:bCs/>
          <w:color w:val="000000"/>
          <w:sz w:val="32"/>
          <w:szCs w:val="32"/>
          <w:lang w:eastAsia="zh-CN"/>
        </w:rPr>
        <w:t>委托业务</w:t>
      </w:r>
      <w:r>
        <w:rPr>
          <w:rFonts w:hint="eastAsia" w:ascii="仿宋_GB2312" w:hAnsi="仿宋_GB2312" w:eastAsia="仿宋_GB2312" w:cs="仿宋_GB2312"/>
          <w:bCs/>
          <w:color w:val="000000"/>
          <w:sz w:val="32"/>
          <w:szCs w:val="32"/>
        </w:rPr>
        <w:t>费、邮电费、</w:t>
      </w:r>
      <w:r>
        <w:rPr>
          <w:rFonts w:hint="eastAsia" w:ascii="仿宋_GB2312" w:hAnsi="仿宋_GB2312" w:eastAsia="仿宋_GB2312" w:cs="仿宋_GB2312"/>
          <w:bCs/>
          <w:color w:val="000000"/>
          <w:sz w:val="32"/>
          <w:szCs w:val="32"/>
          <w:lang w:eastAsia="zh-CN"/>
        </w:rPr>
        <w:t>其他交通费、培训费、</w:t>
      </w:r>
      <w:r>
        <w:rPr>
          <w:rFonts w:hint="eastAsia" w:ascii="仿宋_GB2312" w:hAnsi="仿宋_GB2312" w:eastAsia="仿宋_GB2312" w:cs="仿宋_GB2312"/>
          <w:bCs/>
          <w:color w:val="000000"/>
          <w:sz w:val="32"/>
          <w:szCs w:val="32"/>
        </w:rPr>
        <w:t>差旅费、因公出国（境）费用、维修（护）费、会议费、培训费、劳务费、工会经费、</w:t>
      </w:r>
      <w:r>
        <w:rPr>
          <w:rFonts w:hint="eastAsia" w:ascii="仿宋_GB2312" w:hAnsi="仿宋_GB2312" w:eastAsia="仿宋_GB2312" w:cs="仿宋_GB2312"/>
          <w:bCs/>
          <w:color w:val="000000"/>
          <w:sz w:val="32"/>
          <w:szCs w:val="32"/>
          <w:lang w:eastAsia="zh-CN"/>
        </w:rPr>
        <w:t>伙食费补助</w:t>
      </w:r>
      <w:r>
        <w:rPr>
          <w:rFonts w:hint="eastAsia" w:ascii="仿宋_GB2312" w:hAnsi="仿宋_GB2312" w:eastAsia="仿宋_GB2312" w:cs="仿宋_GB2312"/>
          <w:bCs/>
          <w:color w:val="000000"/>
          <w:sz w:val="32"/>
          <w:szCs w:val="32"/>
        </w:rPr>
        <w:t>费、</w:t>
      </w:r>
      <w:r>
        <w:rPr>
          <w:rFonts w:hint="eastAsia" w:ascii="仿宋_GB2312" w:hAnsi="仿宋_GB2312" w:eastAsia="仿宋_GB2312" w:cs="仿宋_GB2312"/>
          <w:bCs/>
          <w:color w:val="000000"/>
          <w:sz w:val="32"/>
          <w:szCs w:val="32"/>
          <w:lang w:eastAsia="zh-CN"/>
        </w:rPr>
        <w:t>福利费、</w:t>
      </w:r>
      <w:r>
        <w:rPr>
          <w:rFonts w:hint="eastAsia" w:ascii="仿宋_GB2312" w:hAnsi="仿宋_GB2312" w:eastAsia="仿宋_GB2312" w:cs="仿宋_GB2312"/>
          <w:bCs/>
          <w:color w:val="000000"/>
          <w:sz w:val="32"/>
          <w:szCs w:val="32"/>
        </w:rPr>
        <w:t>其他商品和服务支出。</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车辆运行维护费</w:t>
      </w:r>
      <w:r>
        <w:rPr>
          <w:rFonts w:ascii="仿宋_GB2312" w:hAnsi="仿宋_GB2312" w:eastAsia="仿宋_GB2312" w:cs="仿宋_GB2312"/>
          <w:bCs/>
          <w:color w:val="000000"/>
          <w:sz w:val="32"/>
          <w:szCs w:val="32"/>
        </w:rPr>
        <w:t>2.1</w:t>
      </w:r>
      <w:r>
        <w:rPr>
          <w:rFonts w:hint="eastAsia" w:ascii="仿宋_GB2312" w:hAnsi="仿宋_GB2312" w:eastAsia="仿宋_GB2312" w:cs="仿宋_GB2312"/>
          <w:bCs/>
          <w:color w:val="000000"/>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pStyle w:val="2"/>
        <w:numPr>
          <w:ilvl w:val="0"/>
          <w:numId w:val="0"/>
        </w:numPr>
        <w:ind w:leftChars="200" w:firstLine="640" w:firstLineChars="200"/>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w:t>
      </w:r>
      <w:r>
        <w:rPr>
          <w:rFonts w:hint="eastAsia" w:cs="仿宋_GB2312"/>
          <w:bCs/>
          <w:color w:val="000000"/>
          <w:sz w:val="32"/>
          <w:szCs w:val="32"/>
          <w:lang w:val="en-US" w:eastAsia="zh-CN"/>
        </w:rPr>
        <w:t>2</w:t>
      </w:r>
      <w:r>
        <w:rPr>
          <w:rFonts w:hint="eastAsia" w:ascii="仿宋_GB2312" w:hAnsi="仿宋_GB2312" w:eastAsia="仿宋_GB2312" w:cs="仿宋_GB2312"/>
          <w:bCs/>
          <w:color w:val="000000"/>
          <w:sz w:val="32"/>
          <w:szCs w:val="32"/>
        </w:rPr>
        <w:t>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兰溪市房地产管理处</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（九）关于兰溪市房地产管理处202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kern w:val="2"/>
          <w:sz w:val="32"/>
          <w:szCs w:val="32"/>
        </w:rPr>
        <w:t>202</w:t>
      </w:r>
      <w:r>
        <w:rPr>
          <w:rFonts w:hint="eastAsia" w:ascii="仿宋_GB2312" w:hAnsi="仿宋_GB2312" w:eastAsia="仿宋_GB2312" w:cs="仿宋_GB2312"/>
          <w:bCs/>
          <w:color w:val="000000"/>
          <w:kern w:val="2"/>
          <w:sz w:val="32"/>
          <w:szCs w:val="32"/>
          <w:lang w:val="en-US" w:eastAsia="zh-CN"/>
        </w:rPr>
        <w:t>2</w:t>
      </w:r>
      <w:r>
        <w:rPr>
          <w:rFonts w:hint="eastAsia" w:ascii="仿宋_GB2312" w:hAnsi="仿宋_GB2312" w:eastAsia="仿宋_GB2312" w:cs="仿宋_GB2312"/>
          <w:bCs/>
          <w:color w:val="000000"/>
          <w:kern w:val="2"/>
          <w:sz w:val="32"/>
          <w:szCs w:val="32"/>
        </w:rPr>
        <w:t>年“三公”经费预算数为</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kern w:val="2"/>
          <w:sz w:val="32"/>
          <w:szCs w:val="32"/>
        </w:rPr>
        <w:t>万元，比</w:t>
      </w:r>
      <w:r>
        <w:rPr>
          <w:rFonts w:ascii="仿宋_GB2312" w:hAnsi="仿宋_GB2312" w:eastAsia="仿宋_GB2312" w:cs="仿宋_GB2312"/>
          <w:bCs/>
          <w:color w:val="000000"/>
          <w:kern w:val="2"/>
          <w:sz w:val="32"/>
          <w:szCs w:val="32"/>
        </w:rPr>
        <w:t>202</w:t>
      </w:r>
      <w:r>
        <w:rPr>
          <w:rFonts w:hint="eastAsia" w:ascii="仿宋_GB2312" w:hAnsi="仿宋_GB2312" w:eastAsia="仿宋_GB2312" w:cs="仿宋_GB2312"/>
          <w:bCs/>
          <w:color w:val="000000"/>
          <w:kern w:val="2"/>
          <w:sz w:val="32"/>
          <w:szCs w:val="32"/>
          <w:lang w:val="en-US" w:eastAsia="zh-CN"/>
        </w:rPr>
        <w:t>1</w:t>
      </w:r>
      <w:r>
        <w:rPr>
          <w:rFonts w:hint="eastAsia" w:ascii="仿宋_GB2312" w:hAnsi="仿宋_GB2312" w:eastAsia="仿宋_GB2312" w:cs="仿宋_GB2312"/>
          <w:bCs/>
          <w:color w:val="000000"/>
          <w:kern w:val="2"/>
          <w:sz w:val="32"/>
          <w:szCs w:val="32"/>
        </w:rPr>
        <w:t>年执行数增加</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kern w:val="2"/>
          <w:sz w:val="32"/>
          <w:szCs w:val="32"/>
        </w:rPr>
        <w:t>万元，增长</w:t>
      </w:r>
      <w:r>
        <w:rPr>
          <w:rFonts w:hint="eastAsia" w:ascii="仿宋_GB2312" w:hAnsi="仿宋_GB2312" w:eastAsia="仿宋_GB2312" w:cs="仿宋_GB2312"/>
          <w:bCs/>
          <w:color w:val="000000"/>
          <w:kern w:val="2"/>
          <w:sz w:val="32"/>
          <w:szCs w:val="32"/>
          <w:lang w:val="en-US" w:eastAsia="zh-CN"/>
        </w:rPr>
        <w:t>0</w:t>
      </w:r>
      <w:r>
        <w:rPr>
          <w:rFonts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bCs/>
          <w:color w:val="000000"/>
          <w:kern w:val="2"/>
          <w:sz w:val="32"/>
          <w:szCs w:val="32"/>
        </w:rPr>
        <w:t>，具体如下：</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color w:val="000000"/>
          <w:kern w:val="2"/>
          <w:sz w:val="32"/>
          <w:szCs w:val="32"/>
        </w:rPr>
      </w:pPr>
      <w:r>
        <w:rPr>
          <w:rFonts w:ascii="仿宋_GB2312" w:hAnsi="仿宋_GB2312" w:eastAsia="仿宋_GB2312" w:cs="仿宋_GB2312"/>
          <w:bCs/>
          <w:color w:val="000000"/>
          <w:kern w:val="2"/>
          <w:sz w:val="32"/>
          <w:szCs w:val="32"/>
        </w:rPr>
        <w:t>1.</w:t>
      </w:r>
      <w:r>
        <w:rPr>
          <w:rFonts w:hint="eastAsia" w:ascii="仿宋_GB2312" w:hAnsi="仿宋_GB2312" w:eastAsia="仿宋_GB2312" w:cs="仿宋_GB2312"/>
          <w:bCs/>
          <w:color w:val="000000"/>
          <w:kern w:val="2"/>
          <w:sz w:val="32"/>
          <w:szCs w:val="32"/>
        </w:rPr>
        <w:t>因公出国（境）费用：</w:t>
      </w:r>
      <w:r>
        <w:rPr>
          <w:rFonts w:hint="eastAsia" w:ascii="仿宋_GB2312" w:hAnsi="仿宋_GB2312" w:eastAsia="仿宋_GB2312" w:cs="仿宋_GB2312"/>
          <w:bCs/>
          <w:sz w:val="32"/>
          <w:szCs w:val="32"/>
        </w:rPr>
        <w:t>根据外事办安排的因公出国计划和实际工作需要，</w:t>
      </w: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年安排因公出国（境）费用预算</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万元，比上年执行数增长</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。主要用于机关及下属预算单位人员的等公务出国（境）的国际旅费、国外城市间交通费、住宿费、伙食费、培训费、公杂费等支出。无支出的主要原因是本年因公出国无安排。</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公务接待费：</w:t>
      </w: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年安排公务接待费预算</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万元，比上年执行数增长（或下降）</w:t>
      </w:r>
      <w:r>
        <w:rPr>
          <w:rFonts w:ascii="仿宋_GB2312" w:hAnsi="仿宋_GB2312" w:eastAsia="仿宋_GB2312" w:cs="仿宋_GB2312"/>
          <w:bCs/>
          <w:color w:val="000000"/>
          <w:sz w:val="32"/>
          <w:szCs w:val="32"/>
        </w:rPr>
        <w:t>0</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。无支出的主要原因是本年公务接待费无安排。</w:t>
      </w:r>
    </w:p>
    <w:p>
      <w:pPr>
        <w:pStyle w:val="9"/>
        <w:overflowPunct/>
        <w:autoSpaceDE/>
        <w:autoSpaceDN/>
        <w:adjustRightInd/>
        <w:spacing w:line="560" w:lineRule="exact"/>
        <w:ind w:firstLine="640" w:firstLineChars="200"/>
        <w:textAlignment w:val="auto"/>
        <w:rPr>
          <w:rFonts w:ascii="楷体_GB2312" w:hAnsi="楷体_GB2312" w:eastAsia="楷体_GB2312" w:cs="楷体_GB2312"/>
          <w:b/>
          <w:sz w:val="32"/>
          <w:szCs w:val="32"/>
          <w:u w:val="single"/>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公务用车购置及运行维护费：</w:t>
      </w:r>
      <w:r>
        <w:rPr>
          <w:rFonts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年安排公务用车购置及运行维护费预算</w:t>
      </w:r>
      <w:r>
        <w:rPr>
          <w:rFonts w:ascii="仿宋_GB2312" w:hAnsi="仿宋_GB2312" w:eastAsia="仿宋_GB2312" w:cs="仿宋_GB2312"/>
          <w:bCs/>
          <w:color w:val="000000"/>
          <w:sz w:val="32"/>
          <w:szCs w:val="32"/>
        </w:rPr>
        <w:t>2.1</w:t>
      </w:r>
      <w:r>
        <w:rPr>
          <w:rFonts w:hint="eastAsia" w:ascii="仿宋_GB2312" w:hAnsi="仿宋_GB2312" w:eastAsia="仿宋_GB2312" w:cs="仿宋_GB2312"/>
          <w:bCs/>
          <w:sz w:val="32"/>
          <w:szCs w:val="32"/>
        </w:rPr>
        <w:t>万元，比上年执行数增长</w:t>
      </w:r>
      <w:r>
        <w:rPr>
          <w:rFonts w:hint="eastAsia" w:ascii="仿宋_GB2312" w:hAnsi="仿宋_GB2312" w:eastAsia="仿宋_GB2312" w:cs="仿宋_GB2312"/>
          <w:bCs/>
          <w:color w:val="000000"/>
          <w:sz w:val="32"/>
          <w:szCs w:val="32"/>
          <w:lang w:val="en-US" w:eastAsia="zh-CN"/>
        </w:rPr>
        <w:t>0</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。其中，公务用车购置支出</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万元（含购置税等附加费用），主要用于经批准购置的</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辆公务用车；公务用车运行维护费支出</w:t>
      </w:r>
      <w:r>
        <w:rPr>
          <w:rFonts w:ascii="仿宋_GB2312" w:hAnsi="仿宋_GB2312" w:eastAsia="仿宋_GB2312" w:cs="仿宋_GB2312"/>
          <w:bCs/>
          <w:sz w:val="32"/>
          <w:szCs w:val="32"/>
        </w:rPr>
        <w:t xml:space="preserve">  </w:t>
      </w:r>
      <w:r>
        <w:rPr>
          <w:rFonts w:ascii="仿宋_GB2312" w:hAnsi="仿宋_GB2312" w:eastAsia="仿宋_GB2312" w:cs="仿宋_GB2312"/>
          <w:bCs/>
          <w:color w:val="000000"/>
          <w:sz w:val="32"/>
          <w:szCs w:val="32"/>
        </w:rPr>
        <w:t>2.1</w:t>
      </w:r>
      <w:r>
        <w:rPr>
          <w:rFonts w:hint="eastAsia" w:ascii="仿宋_GB2312" w:hAnsi="仿宋_GB2312" w:eastAsia="仿宋_GB2312" w:cs="仿宋_GB2312"/>
          <w:bCs/>
          <w:sz w:val="32"/>
          <w:szCs w:val="32"/>
        </w:rPr>
        <w:t>万元，主要用于日常工作所需公务用车燃料费、维修费、过桥过路费、保险费、安全奖励费用等。</w:t>
      </w:r>
    </w:p>
    <w:p>
      <w:pPr>
        <w:pStyle w:val="2"/>
        <w:numPr>
          <w:ilvl w:val="0"/>
          <w:numId w:val="0"/>
        </w:numPr>
        <w:ind w:leftChars="200"/>
        <w:rPr>
          <w:rFonts w:hint="eastAsia"/>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color w:val="000000"/>
          <w:sz w:val="32"/>
          <w:szCs w:val="32"/>
          <w:highlight w:val="none"/>
          <w:lang w:val="en-US" w:eastAsia="zh-CN"/>
        </w:rPr>
        <w:t>无。</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兰溪市房地产管理处政府采购预算总额</w:t>
      </w:r>
      <w:r>
        <w:rPr>
          <w:rFonts w:hint="eastAsia" w:ascii="仿宋_GB2312" w:eastAsia="仿宋_GB2312"/>
          <w:color w:val="000000"/>
          <w:sz w:val="32"/>
          <w:szCs w:val="32"/>
          <w:highlight w:val="none"/>
          <w:lang w:val="en-US" w:eastAsia="zh-CN"/>
        </w:rPr>
        <w:t>5.77万元，其中：政府采购货物预算0万元、政府采购工程预算0万元、政府采购服务预算5.77万元。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overflowPunct/>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截至</w:t>
      </w:r>
      <w:r>
        <w:rPr>
          <w:rFonts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年</w:t>
      </w:r>
      <w:r>
        <w:rPr>
          <w:rFonts w:ascii="仿宋_GB2312" w:hAnsi="仿宋_GB2312" w:eastAsia="仿宋_GB2312" w:cs="仿宋_GB2312"/>
          <w:bCs/>
          <w:color w:val="000000"/>
          <w:sz w:val="32"/>
          <w:szCs w:val="32"/>
        </w:rPr>
        <w:t>12</w:t>
      </w:r>
      <w:r>
        <w:rPr>
          <w:rFonts w:hint="eastAsia" w:ascii="仿宋_GB2312" w:hAnsi="仿宋_GB2312" w:eastAsia="仿宋_GB2312" w:cs="仿宋_GB2312"/>
          <w:bCs/>
          <w:color w:val="000000"/>
          <w:sz w:val="32"/>
          <w:szCs w:val="32"/>
        </w:rPr>
        <w:t>月</w:t>
      </w:r>
      <w:r>
        <w:rPr>
          <w:rFonts w:ascii="仿宋_GB2312" w:hAnsi="仿宋_GB2312" w:eastAsia="仿宋_GB2312" w:cs="仿宋_GB2312"/>
          <w:bCs/>
          <w:color w:val="000000"/>
          <w:sz w:val="32"/>
          <w:szCs w:val="32"/>
        </w:rPr>
        <w:t>31</w:t>
      </w:r>
      <w:r>
        <w:rPr>
          <w:rFonts w:hint="eastAsia" w:ascii="仿宋_GB2312" w:hAnsi="仿宋_GB2312" w:eastAsia="仿宋_GB2312" w:cs="仿宋_GB2312"/>
          <w:bCs/>
          <w:color w:val="000000"/>
          <w:sz w:val="32"/>
          <w:szCs w:val="32"/>
        </w:rPr>
        <w:t>日，兰溪市房地产管理处单位共有车辆</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辆，其中，领导用车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辆、应急机要通信用车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辆、一般执法执勤用车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辆、行政执法专用车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辆、特种专业技术用车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辆、老干部服务用车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辆、其他用车</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辆。</w:t>
      </w:r>
      <w:r>
        <w:rPr>
          <w:rFonts w:hint="eastAsia" w:ascii="仿宋_GB2312" w:hAnsi="仿宋_GB2312" w:eastAsia="仿宋_GB2312" w:cs="仿宋_GB2312"/>
          <w:sz w:val="32"/>
          <w:szCs w:val="32"/>
        </w:rPr>
        <w:t>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w:t>
      </w:r>
      <w:r>
        <w:rPr>
          <w:rFonts w:ascii="仿宋_GB2312" w:hAnsi="仿宋_GB2312" w:eastAsia="仿宋_GB2312" w:cs="仿宋_GB2312"/>
          <w:sz w:val="32"/>
          <w:szCs w:val="32"/>
        </w:rPr>
        <w:t xml:space="preserve"> </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sz w:val="32"/>
          <w:szCs w:val="32"/>
          <w:highlight w:val="none"/>
          <w:u w:val="none"/>
          <w:lang w:val="en-US" w:eastAsia="zh-CN"/>
        </w:rPr>
      </w:pP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年部门预算安排购置车辆</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辆，其中，领导用车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辆、应急机要通信用车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辆、一般执法执勤用车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辆、行政执法专用车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辆、特种专业技术用车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辆、老干部服务用车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辆、其他用车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年部门预算安排购置单位价值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w:t>
      </w:r>
      <w:r>
        <w:rPr>
          <w:rFonts w:hint="eastAsia" w:ascii="仿宋_GB2312" w:hAnsi="仿宋_GB2312" w:eastAsia="仿宋_GB2312" w:cs="仿宋_GB2312"/>
          <w:bCs/>
          <w:color w:val="000000"/>
          <w:sz w:val="32"/>
          <w:szCs w:val="32"/>
        </w:rPr>
        <w:t>（或</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年部门预算未安排购置</w:t>
      </w:r>
      <w:r>
        <w:rPr>
          <w:rFonts w:hint="eastAsia" w:ascii="仿宋_GB2312" w:hAnsi="仿宋_GB2312" w:eastAsia="仿宋_GB2312" w:cs="仿宋_GB2312"/>
          <w:sz w:val="32"/>
          <w:szCs w:val="32"/>
        </w:rPr>
        <w:t>车辆、单位价值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万元以上通用设备及单位价值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 w:val="0"/>
          <w:bCs/>
          <w:sz w:val="32"/>
          <w:szCs w:val="32"/>
          <w:highlight w:val="none"/>
          <w:u w:val="none"/>
          <w:lang w:val="en-US" w:eastAsia="zh-CN"/>
        </w:rPr>
        <w:t xml:space="preserve">   </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兰溪市房地产管理处其他运转类和特定目标类项目均实行绩效目标管理，涉及一般公共预算当年拨款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252万元，</w:t>
      </w:r>
      <w:r>
        <w:rPr>
          <w:rFonts w:hint="eastAsia" w:ascii="仿宋_GB2312" w:hAnsi="仿宋_GB2312" w:eastAsia="仿宋_GB2312" w:cs="仿宋_GB2312"/>
          <w:color w:val="auto"/>
          <w:sz w:val="32"/>
          <w:szCs w:val="32"/>
          <w:highlight w:val="none"/>
          <w:lang w:val="en-US" w:eastAsia="zh-CN"/>
        </w:rPr>
        <w:t>一级项目3个。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pPr>
      <w:r>
        <w:rPr>
          <w:rFonts w:ascii="仿宋_GB2312" w:hAnsi="仿宋_GB2312" w:eastAsia="仿宋_GB2312" w:cs="仿宋_GB2312"/>
          <w:bCs/>
          <w:color w:val="000000"/>
          <w:sz w:val="32"/>
          <w:szCs w:val="32"/>
        </w:rPr>
        <w:t>13.</w:t>
      </w:r>
      <w:r>
        <w:rPr>
          <w:rFonts w:hint="eastAsia" w:ascii="仿宋_GB2312" w:eastAsia="仿宋_GB2312" w:cs="仿宋_GB2312"/>
          <w:sz w:val="32"/>
          <w:szCs w:val="32"/>
        </w:rPr>
        <w:t>城乡社区支出（类）行政事业单位医疗（款）事业单位医疗（项），主要于用主要用于财政部门安排的事业单位基本医疗保险缴费经费，未参加医疗保险的事业单位的公费医疗经费，按国家规定享受离休人员待遇的医疗经费。</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住房保障支出（类）保障性安居工程支出（款）公共租赁住房（项），主要用于新建、改建、购买、租赁、维护和管理公共租赁住房支出。</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住房保障支出（类）保障性安居工程支出（款）保障性住房租金补贴（项），主要用于各级政府向低收入住房保障家庭发放的住房租赁补贴支出。。</w:t>
      </w:r>
    </w:p>
    <w:p>
      <w:pPr>
        <w:overflowPunct/>
        <w:autoSpaceDE/>
        <w:autoSpaceDN/>
        <w:adjustRightInd/>
        <w:spacing w:line="560" w:lineRule="exact"/>
        <w:ind w:firstLine="640"/>
        <w:jc w:val="left"/>
        <w:textAlignment w:val="auto"/>
        <w:rPr>
          <w:rFonts w:ascii="仿宋_GB2312" w:hAnsi="仿宋_GB2312" w:eastAsia="仿宋_GB2312" w:cs="仿宋_GB2312"/>
          <w:bCs/>
          <w:color w:val="000000"/>
          <w:sz w:val="32"/>
          <w:szCs w:val="32"/>
        </w:rPr>
      </w:pPr>
      <w:r>
        <w:rPr>
          <w:rFonts w:ascii="仿宋_GB2312" w:eastAsia="仿宋_GB2312" w:cs="仿宋_GB2312"/>
          <w:sz w:val="32"/>
          <w:szCs w:val="32"/>
        </w:rPr>
        <w:t>16.</w:t>
      </w:r>
      <w:r>
        <w:rPr>
          <w:rFonts w:hint="eastAsia" w:ascii="仿宋_GB2312" w:eastAsia="仿宋_GB2312" w:cs="仿宋_GB2312"/>
          <w:sz w:val="32"/>
          <w:szCs w:val="32"/>
        </w:rPr>
        <w:t>城乡社区支出（类）其他城乡社区支出（款）其他城乡社区支出（项），主要用于城乡社区其他方面事务的支出。</w:t>
      </w:r>
    </w:p>
    <w:p>
      <w:pPr>
        <w:rPr>
          <w:rFonts w:hint="eastAsia" w:ascii="仿宋_GB2312" w:eastAsia="仿宋_GB2312"/>
          <w:sz w:val="28"/>
          <w:lang w:val="en-US" w:eastAsia="zh-CN" w:bidi="ar-SA"/>
        </w:rPr>
      </w:pPr>
    </w:p>
    <w:p>
      <w:bookmarkStart w:id="0" w:name="_GoBack"/>
      <w:bookmarkEnd w:id="0"/>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92A2287"/>
    <w:rsid w:val="10850EE4"/>
    <w:rsid w:val="11521C9B"/>
    <w:rsid w:val="25D36B19"/>
    <w:rsid w:val="4C32446A"/>
    <w:rsid w:val="7044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WPS_1494144313</cp:lastModifiedBy>
  <dcterms:modified xsi:type="dcterms:W3CDTF">2022-02-28T01:40:07Z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