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pStyle w:val="2"/>
        <w:rPr>
          <w:rFonts w:hint="default"/>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Times New Roman" w:hAnsi="Times New Roman" w:eastAsia="方正小标宋简体" w:cs="Times New Roman"/>
          <w:b/>
          <w:bCs w:val="0"/>
          <w:spacing w:val="15"/>
          <w:sz w:val="44"/>
          <w:szCs w:val="44"/>
          <w:highlight w:val="none"/>
          <w:lang w:eastAsia="zh-CN"/>
        </w:rPr>
      </w:pPr>
      <w:r>
        <w:rPr>
          <w:rFonts w:hint="default" w:ascii="Times New Roman" w:hAnsi="Times New Roman" w:eastAsia="方正小标宋简体" w:cs="Times New Roman"/>
          <w:b/>
          <w:bCs w:val="0"/>
          <w:spacing w:val="15"/>
          <w:sz w:val="44"/>
          <w:szCs w:val="44"/>
          <w:highlight w:val="none"/>
          <w:lang w:eastAsia="zh-CN"/>
        </w:rPr>
        <w:t>兰溪市</w:t>
      </w:r>
      <w:r>
        <w:rPr>
          <w:rFonts w:hint="eastAsia" w:ascii="Times New Roman" w:hAnsi="Times New Roman" w:eastAsia="方正小标宋简体" w:cs="Times New Roman"/>
          <w:b/>
          <w:bCs w:val="0"/>
          <w:spacing w:val="15"/>
          <w:sz w:val="44"/>
          <w:szCs w:val="44"/>
          <w:highlight w:val="none"/>
          <w:lang w:eastAsia="zh-CN"/>
        </w:rPr>
        <w:t>人力资源和社会保障局（本级）</w:t>
      </w: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pStyle w:val="9"/>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default" w:ascii="Times New Roman" w:hAnsi="Times New Roman" w:eastAsia="黑体" w:cs="Times New Roman"/>
          <w:b w:val="0"/>
          <w:color w:val="000000"/>
          <w:sz w:val="32"/>
          <w:szCs w:val="32"/>
          <w:highlight w:val="none"/>
          <w:lang w:eastAsia="zh-CN"/>
        </w:rPr>
      </w:pPr>
      <w:r>
        <w:rPr>
          <w:rStyle w:val="7"/>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7"/>
          <w:rFonts w:hint="default" w:ascii="Times New Roman" w:hAnsi="Times New Roman" w:eastAsia="黑体" w:cs="Times New Roman"/>
          <w:b w:val="0"/>
          <w:color w:val="000000"/>
          <w:sz w:val="32"/>
          <w:szCs w:val="32"/>
          <w:highlight w:val="none"/>
          <w:lang w:eastAsia="zh-CN"/>
        </w:rPr>
        <w:t>单位</w:t>
      </w:r>
      <w:r>
        <w:rPr>
          <w:rStyle w:val="7"/>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default" w:ascii="Times New Roman" w:hAnsi="Times New Roman" w:eastAsia="黑体" w:cs="Times New Roman"/>
          <w:b w:val="0"/>
          <w:color w:val="000000"/>
          <w:sz w:val="32"/>
          <w:szCs w:val="32"/>
          <w:highlight w:val="none"/>
          <w:lang w:eastAsia="zh-CN"/>
        </w:rPr>
      </w:pPr>
      <w:r>
        <w:rPr>
          <w:rStyle w:val="7"/>
          <w:rFonts w:hint="default" w:ascii="Times New Roman" w:hAnsi="Times New Roman" w:eastAsia="黑体" w:cs="Times New Roman"/>
          <w:b w:val="0"/>
          <w:color w:val="000000"/>
          <w:sz w:val="32"/>
          <w:szCs w:val="32"/>
          <w:highlight w:val="none"/>
          <w:lang w:eastAsia="zh-CN"/>
        </w:rPr>
        <w:t>二、</w:t>
      </w:r>
      <w:r>
        <w:rPr>
          <w:rStyle w:val="7"/>
          <w:rFonts w:hint="default" w:ascii="Times New Roman" w:hAnsi="Times New Roman" w:eastAsia="黑体" w:cs="Times New Roman"/>
          <w:b w:val="0"/>
          <w:color w:val="000000"/>
          <w:sz w:val="32"/>
          <w:szCs w:val="32"/>
          <w:highlight w:val="none"/>
          <w:lang w:val="en-US" w:eastAsia="zh-CN"/>
        </w:rPr>
        <w:t>2022</w:t>
      </w:r>
      <w:r>
        <w:rPr>
          <w:rStyle w:val="7"/>
          <w:rFonts w:hint="default" w:ascii="Times New Roman" w:hAnsi="Times New Roman" w:eastAsia="黑体" w:cs="Times New Roman"/>
          <w:b w:val="0"/>
          <w:color w:val="000000"/>
          <w:sz w:val="32"/>
          <w:szCs w:val="32"/>
          <w:highlight w:val="none"/>
        </w:rPr>
        <w:t>年</w:t>
      </w:r>
      <w:r>
        <w:rPr>
          <w:rStyle w:val="7"/>
          <w:rFonts w:hint="default" w:ascii="Times New Roman" w:hAnsi="Times New Roman" w:eastAsia="黑体" w:cs="Times New Roman"/>
          <w:b w:val="0"/>
          <w:color w:val="000000"/>
          <w:sz w:val="32"/>
          <w:szCs w:val="32"/>
          <w:highlight w:val="none"/>
          <w:lang w:eastAsia="zh-CN"/>
        </w:rPr>
        <w:t>兰溪市</w:t>
      </w:r>
      <w:r>
        <w:rPr>
          <w:rStyle w:val="7"/>
          <w:rFonts w:hint="eastAsia" w:ascii="Times New Roman" w:hAnsi="Times New Roman" w:eastAsia="黑体" w:cs="Times New Roman"/>
          <w:b w:val="0"/>
          <w:color w:val="000000"/>
          <w:sz w:val="32"/>
          <w:szCs w:val="32"/>
          <w:highlight w:val="none"/>
          <w:lang w:val="en-US" w:eastAsia="zh-CN"/>
        </w:rPr>
        <w:t>人力资源和社会保障局（本级）</w:t>
      </w:r>
      <w:r>
        <w:rPr>
          <w:rStyle w:val="7"/>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default" w:ascii="Times New Roman" w:hAnsi="Times New Roman" w:eastAsia="黑体" w:cs="Times New Roman"/>
          <w:b w:val="0"/>
          <w:color w:val="000000"/>
          <w:kern w:val="2"/>
          <w:sz w:val="32"/>
          <w:szCs w:val="32"/>
          <w:highlight w:val="none"/>
          <w:lang w:val="en-US" w:eastAsia="zh-CN" w:bidi="ar-SA"/>
        </w:rPr>
      </w:pPr>
      <w:r>
        <w:rPr>
          <w:rStyle w:val="7"/>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default" w:ascii="Times New Roman" w:hAnsi="Times New Roman" w:eastAsia="黑体" w:cs="Times New Roman"/>
          <w:b w:val="0"/>
          <w:color w:val="000000"/>
          <w:sz w:val="32"/>
          <w:szCs w:val="32"/>
          <w:highlight w:val="none"/>
          <w:lang w:eastAsia="zh-CN"/>
        </w:rPr>
      </w:pPr>
      <w:r>
        <w:rPr>
          <w:rStyle w:val="7"/>
          <w:rFonts w:hint="default" w:ascii="Times New Roman" w:hAnsi="Times New Roman" w:eastAsia="黑体" w:cs="Times New Roman"/>
          <w:b w:val="0"/>
          <w:color w:val="000000"/>
          <w:sz w:val="32"/>
          <w:szCs w:val="32"/>
          <w:highlight w:val="none"/>
          <w:lang w:eastAsia="zh-CN"/>
        </w:rPr>
        <w:t>四、</w:t>
      </w:r>
      <w:r>
        <w:rPr>
          <w:rStyle w:val="7"/>
          <w:rFonts w:hint="default" w:ascii="Times New Roman" w:hAnsi="Times New Roman" w:eastAsia="黑体" w:cs="Times New Roman"/>
          <w:b w:val="0"/>
          <w:color w:val="000000"/>
          <w:sz w:val="32"/>
          <w:szCs w:val="32"/>
          <w:highlight w:val="none"/>
          <w:lang w:val="en-US" w:eastAsia="zh-CN"/>
        </w:rPr>
        <w:t>2022</w:t>
      </w:r>
      <w:r>
        <w:rPr>
          <w:rStyle w:val="7"/>
          <w:rFonts w:hint="default" w:ascii="Times New Roman" w:hAnsi="Times New Roman" w:eastAsia="黑体" w:cs="Times New Roman"/>
          <w:b w:val="0"/>
          <w:color w:val="000000"/>
          <w:sz w:val="32"/>
          <w:szCs w:val="32"/>
          <w:highlight w:val="none"/>
        </w:rPr>
        <w:t>年</w:t>
      </w:r>
      <w:r>
        <w:rPr>
          <w:rStyle w:val="7"/>
          <w:rFonts w:hint="default" w:ascii="Times New Roman" w:hAnsi="Times New Roman" w:eastAsia="黑体" w:cs="Times New Roman"/>
          <w:b w:val="0"/>
          <w:color w:val="000000"/>
          <w:sz w:val="32"/>
          <w:szCs w:val="32"/>
          <w:highlight w:val="none"/>
          <w:lang w:val="en-US" w:eastAsia="zh-CN"/>
        </w:rPr>
        <w:t>兰溪市</w:t>
      </w:r>
      <w:r>
        <w:rPr>
          <w:rStyle w:val="7"/>
          <w:rFonts w:hint="eastAsia" w:ascii="Times New Roman" w:hAnsi="Times New Roman" w:eastAsia="黑体" w:cs="Times New Roman"/>
          <w:b w:val="0"/>
          <w:color w:val="000000"/>
          <w:sz w:val="32"/>
          <w:szCs w:val="32"/>
          <w:highlight w:val="none"/>
          <w:lang w:val="en-US" w:eastAsia="zh-CN"/>
        </w:rPr>
        <w:t>人力资源和社会保障局（本级）</w:t>
      </w:r>
      <w:r>
        <w:rPr>
          <w:rStyle w:val="7"/>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（一）2022年单位收支预算总表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（二）2022年单位收入预算总表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（三）2022年单位支出预算总表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（四）2022年单位财政拨款收支预算总表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（五）2022年单位一般公共预算支出表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（六）2022年单位一般公共预算基本支出表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（七）2022年单位一般公共预算“三公”经费支出表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（八）2022年单位政府性基金预算支出表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p>
    <w:p>
      <w:pPr>
        <w:pStyle w:val="9"/>
        <w:rPr>
          <w:rStyle w:val="7"/>
          <w:rFonts w:hint="default" w:ascii="Times New Roman" w:hAnsi="Times New Roman" w:eastAsia="黑体" w:cs="Times New Roman"/>
          <w:b/>
          <w:bCs w:val="0"/>
          <w:color w:val="000000"/>
          <w:sz w:val="32"/>
          <w:szCs w:val="32"/>
          <w:highlight w:val="none"/>
        </w:rPr>
      </w:pPr>
    </w:p>
    <w:p>
      <w:pPr>
        <w:pStyle w:val="9"/>
        <w:rPr>
          <w:rStyle w:val="7"/>
          <w:rFonts w:hint="default" w:ascii="Times New Roman" w:hAnsi="Times New Roman" w:eastAsia="黑体" w:cs="Times New Roman"/>
          <w:b/>
          <w:bCs w:val="0"/>
          <w:color w:val="000000"/>
          <w:sz w:val="32"/>
          <w:szCs w:val="32"/>
          <w:highlight w:val="none"/>
        </w:rPr>
      </w:pPr>
    </w:p>
    <w:p>
      <w:pPr>
        <w:pStyle w:val="9"/>
        <w:rPr>
          <w:rStyle w:val="7"/>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default" w:ascii="Times New Roman" w:hAnsi="Times New Roman" w:eastAsia="黑体" w:cs="Times New Roman"/>
          <w:b/>
          <w:bCs w:val="0"/>
          <w:color w:val="000000"/>
          <w:sz w:val="32"/>
          <w:szCs w:val="32"/>
          <w:highlight w:val="none"/>
        </w:rPr>
      </w:pPr>
      <w:r>
        <w:rPr>
          <w:rStyle w:val="7"/>
          <w:rFonts w:hint="default" w:ascii="Times New Roman" w:hAnsi="Times New Roman" w:eastAsia="黑体" w:cs="Times New Roman"/>
          <w:b/>
          <w:bCs w:val="0"/>
          <w:color w:val="000000"/>
          <w:sz w:val="32"/>
          <w:szCs w:val="32"/>
          <w:highlight w:val="none"/>
        </w:rPr>
        <w:t>一、</w:t>
      </w:r>
      <w:r>
        <w:rPr>
          <w:rStyle w:val="7"/>
          <w:rFonts w:hint="default" w:ascii="Times New Roman" w:hAnsi="Times New Roman" w:eastAsia="黑体" w:cs="Times New Roman"/>
          <w:b/>
          <w:bCs w:val="0"/>
          <w:color w:val="000000"/>
          <w:sz w:val="32"/>
          <w:szCs w:val="32"/>
          <w:highlight w:val="none"/>
          <w:lang w:val="en-US" w:eastAsia="zh-CN"/>
        </w:rPr>
        <w:t>兰溪市</w:t>
      </w:r>
      <w:r>
        <w:rPr>
          <w:rStyle w:val="7"/>
          <w:rFonts w:hint="eastAsia" w:ascii="Times New Roman" w:hAnsi="Times New Roman" w:eastAsia="黑体" w:cs="Times New Roman"/>
          <w:b/>
          <w:bCs w:val="0"/>
          <w:color w:val="000000"/>
          <w:sz w:val="32"/>
          <w:szCs w:val="32"/>
          <w:highlight w:val="none"/>
          <w:lang w:val="en-US" w:eastAsia="zh-CN"/>
        </w:rPr>
        <w:t>人力资源和社会保障局（本级）</w:t>
      </w:r>
      <w:r>
        <w:rPr>
          <w:rStyle w:val="7"/>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1.贯彻执行人力资源和社会保障工作的法律、法规、规章。编制全市人力资源和社会保障事业发展规划，拟订相关政策、改革方案并组织实施和监督检查。负责全市人力资源和社会保障相关领域的统计工作。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负责促进就业工作。拟订统筹城乡的就业发展规划和政策，完善公共就业创业服务体系和就业援助制度。牵头拟订高校毕业生就业政策，负责毕业生离校后的就业指导和服务工作。建立健全就业失业的预测预警、监测分析制度。完善技能人员职业资格制度，统筹建立面向城乡劳动者的职业技能培训制度。负责全市技工院校毕业生就业的管理指导。会同有关部门拟订农民工工作、家庭服务业发展综合性政策和规划，推动相关政策的落实。</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承担人才开发有关工作。协同拟订并组织实施全市人才发展战略、规划和人才工作有关重要政策措施，指导和协调全市人才选拔、培养、引进等人才项目的组织实施。负责全市专业技术人才队伍综合管理，牵头推进深化职称制度改革，负责专业技术人员职业资格管理。负责技能人才队伍综合管理，推进技工院校建设，组织拟订技能人才培养、评价、使用和激励政策。拟订人力资源市场发展规划和人力资源服务业发展、人力资源流动政策。负责人才国际交流合作有关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负责基本养老保险、工伤保险和失业保险工作。拟订基本养老保险、工伤保险、失业保险和被征地农民社会保障政策和标准，依法对其基金进行监督，提高统筹层次。组织拟订基本养老保险基金、工伤保险基金、失业保险基金及补充养老保险基金管理和监督办法，</w:t>
      </w:r>
      <w:r>
        <w:rPr>
          <w:rFonts w:hint="eastAsia" w:ascii="仿宋_GB2312" w:hAnsi="仿宋_GB2312" w:eastAsia="仿宋_GB2312" w:cs="仿宋_GB2312"/>
          <w:kern w:val="2"/>
          <w:sz w:val="32"/>
          <w:szCs w:val="32"/>
          <w:lang w:val="zh-CN" w:eastAsia="zh-CN" w:bidi="ar"/>
        </w:rPr>
        <w:t>审核相应</w:t>
      </w:r>
      <w:r>
        <w:rPr>
          <w:rFonts w:hint="eastAsia" w:ascii="仿宋_GB2312" w:hAnsi="仿宋_GB2312" w:eastAsia="仿宋_GB2312" w:cs="仿宋_GB2312"/>
          <w:kern w:val="2"/>
          <w:sz w:val="32"/>
          <w:szCs w:val="32"/>
          <w:lang w:val="en-US" w:eastAsia="zh-CN" w:bidi="ar"/>
        </w:rPr>
        <w:t>基金预决算。组织实施基金安全预测预警分析，拟订应对措施，实施预防、调节和控制。管理所属养老、工伤、失业保险经办机构，完善相应服务体系建设。</w:t>
      </w:r>
    </w:p>
    <w:p>
      <w:pPr>
        <w:keepNext w:val="0"/>
        <w:keepLines w:val="0"/>
        <w:widowControl w:val="0"/>
        <w:suppressLineNumbers w:val="0"/>
        <w:spacing w:before="0" w:beforeAutospacing="0" w:after="0" w:afterAutospacing="0" w:line="600" w:lineRule="exact"/>
        <w:ind w:left="0" w:right="-313" w:rightChars="-149"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会同有关部门拟订全市企事业单位人员、机关工勤人员收入分配、福利和退休政策，建立企事业单位人员工资正常增长和支付保障机制。综合管理事业单位人员、机关工勤人员、编外人员、国有企业人员人事工作，会同有关部门指导事业单位等人事制度改革。</w:t>
      </w:r>
      <w:r>
        <w:rPr>
          <w:rFonts w:hint="eastAsia" w:ascii="Times New Roman" w:hAnsi="Times New Roman" w:eastAsia="仿宋_GB2312" w:cs="仿宋_GB2312"/>
          <w:kern w:val="2"/>
          <w:sz w:val="32"/>
          <w:szCs w:val="32"/>
          <w:lang w:val="en-US" w:eastAsia="zh-CN" w:bidi="ar"/>
        </w:rPr>
        <w:t>综合管理政府表彰奖励和评比达标工作。</w:t>
      </w:r>
      <w:r>
        <w:rPr>
          <w:rFonts w:hint="eastAsia" w:ascii="仿宋_GB2312" w:hAnsi="仿宋_GB2312" w:eastAsia="仿宋_GB2312" w:cs="仿宋_GB2312"/>
          <w:kern w:val="2"/>
          <w:sz w:val="32"/>
          <w:szCs w:val="32"/>
          <w:lang w:val="en-US" w:eastAsia="zh-CN" w:bidi="ar"/>
        </w:rPr>
        <w:t xml:space="preserve">牵头统筹机关事业单位退休人员相关待遇工作。            </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统筹拟订全市劳动、人事争议调解仲裁制度和劳动关系政策，完善劳动关系协调机制，制定消除非法使用童工政策，制定女职工、未成年工特殊劳动保护政策，制定完善工时制度和职工休假制度，组织实施劳动保障监察，协调劳动者维权工作，依法查处违法案件；受理人力资源和社会保障信访事项，会同有关部门协调处理有关重大信访事件和突发事件。</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7.完成市委、市政府交办的其他任务。</w:t>
      </w:r>
    </w:p>
    <w:p>
      <w:pPr>
        <w:keepNext w:val="0"/>
        <w:keepLines w:val="0"/>
        <w:widowControl w:val="0"/>
        <w:suppressLineNumbers w:val="0"/>
        <w:snapToGrid w:val="0"/>
        <w:spacing w:before="0" w:beforeAutospacing="0" w:after="0" w:afterAutospacing="0" w:line="52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职能转变。坚持以人民为中心的发展思想，大力实施就业优先战略，以创业带动就业，完善收入分配体制机制，努力构建和谐劳动关系，实现更高质量就业和更体面劳动。按照兜底线、织密网、建机制的要求，全面建成覆盖全民、城乡统筹、权责清晰、保障适度、可持续的多层次社会保障体系。进一步破除人力资源开发体制机制障碍，充分发挥市场在人力资源配置中的主导作用。以“最多跑一次”改革为统领，加强整体谋划、系统设计和改革落地，</w:t>
      </w:r>
      <w:r>
        <w:rPr>
          <w:rFonts w:hint="eastAsia" w:ascii="Times New Roman" w:hAnsi="Times New Roman" w:eastAsia="仿宋_GB2312" w:cs="仿宋_GB2312"/>
          <w:kern w:val="2"/>
          <w:sz w:val="32"/>
          <w:szCs w:val="32"/>
          <w:lang w:val="en-US" w:eastAsia="zh-CN" w:bidi="ar"/>
        </w:rPr>
        <w:t>强化人力社保管理信息化支撑，</w:t>
      </w:r>
      <w:r>
        <w:rPr>
          <w:rFonts w:hint="eastAsia" w:ascii="仿宋_GB2312" w:hAnsi="仿宋_GB2312" w:eastAsia="仿宋_GB2312" w:cs="仿宋_GB2312"/>
          <w:kern w:val="2"/>
          <w:sz w:val="32"/>
          <w:szCs w:val="32"/>
          <w:lang w:val="en-US" w:eastAsia="zh-CN" w:bidi="ar"/>
        </w:rPr>
        <w:t>提供优质公共服务，提高人力资源和社会保障治理能力和治理水平。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widowControl w:val="0"/>
        <w:suppressLineNumbers w:val="0"/>
        <w:spacing w:before="0" w:beforeAutospacing="0" w:after="0" w:afterAutospacing="0" w:line="560" w:lineRule="exact"/>
        <w:ind w:left="0" w:right="0" w:firstLine="627" w:firstLineChars="196"/>
        <w:jc w:val="both"/>
        <w:rPr>
          <w:rFonts w:hint="eastAsia" w:ascii="仿宋_GB2312" w:hAnsi="仿宋_GB2312" w:eastAsia="仿宋_GB2312" w:cs="仿宋_GB2312"/>
          <w:bCs/>
          <w:sz w:val="32"/>
          <w:szCs w:val="32"/>
          <w:u w:val="single"/>
          <w:lang w:val="en-US"/>
        </w:rPr>
      </w:pPr>
      <w:r>
        <w:rPr>
          <w:rFonts w:hint="eastAsia" w:ascii="仿宋_GB2312" w:hAnsi="仿宋_GB2312" w:eastAsia="仿宋_GB2312" w:cs="仿宋_GB2312"/>
          <w:bCs/>
          <w:kern w:val="2"/>
          <w:sz w:val="32"/>
          <w:szCs w:val="32"/>
          <w:lang w:val="en-US" w:eastAsia="zh-CN" w:bidi="ar"/>
        </w:rPr>
        <w:t>从预算单位构成看，兰溪市人力资源和社会保障局（本级）是二级预算单位，属于行政机关，单位内设8科室分别为办公室、</w:t>
      </w:r>
      <w:r>
        <w:rPr>
          <w:rFonts w:hint="eastAsia" w:ascii="楷体_GB2312" w:hAnsi="楷体_GB2312" w:eastAsia="楷体_GB2312" w:cs="楷体_GB2312"/>
          <w:kern w:val="2"/>
          <w:sz w:val="32"/>
          <w:szCs w:val="32"/>
          <w:lang w:val="en-US" w:eastAsia="zh-CN" w:bidi="ar"/>
        </w:rPr>
        <w:t>事业单位人事管理科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人才开发和市场科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工资福利和奖励科</w:t>
      </w:r>
      <w:r>
        <w:rPr>
          <w:rFonts w:hint="eastAsia" w:ascii="仿宋_GB2312" w:hAnsi="仿宋_GB2312" w:eastAsia="仿宋_GB2312" w:cs="仿宋_GB2312"/>
          <w:bCs/>
          <w:kern w:val="2"/>
          <w:sz w:val="32"/>
          <w:szCs w:val="32"/>
          <w:lang w:val="en-US" w:eastAsia="zh-CN" w:bidi="ar"/>
        </w:rPr>
        <w:t>、职业能力建设科、</w:t>
      </w:r>
      <w:r>
        <w:rPr>
          <w:rFonts w:hint="eastAsia" w:ascii="楷体_GB2312" w:hAnsi="楷体_GB2312" w:eastAsia="楷体_GB2312" w:cs="楷体_GB2312"/>
          <w:kern w:val="2"/>
          <w:sz w:val="32"/>
          <w:szCs w:val="32"/>
          <w:lang w:val="en-US" w:eastAsia="zh-CN" w:bidi="ar"/>
        </w:rPr>
        <w:t>政策法规科</w:t>
      </w:r>
      <w:r>
        <w:rPr>
          <w:rFonts w:hint="eastAsia" w:ascii="仿宋_GB2312" w:hAnsi="仿宋_GB2312" w:eastAsia="仿宋_GB2312" w:cs="仿宋_GB2312"/>
          <w:bCs/>
          <w:kern w:val="2"/>
          <w:sz w:val="32"/>
          <w:szCs w:val="32"/>
          <w:lang w:val="en-US" w:eastAsia="zh-CN" w:bidi="ar"/>
        </w:rPr>
        <w:t>、社保科、</w:t>
      </w:r>
      <w:r>
        <w:rPr>
          <w:rFonts w:hint="eastAsia" w:ascii="楷体_GB2312" w:hAnsi="楷体" w:eastAsia="楷体_GB2312" w:cs="楷体"/>
          <w:kern w:val="2"/>
          <w:sz w:val="32"/>
          <w:szCs w:val="32"/>
          <w:lang w:val="en-US" w:eastAsia="zh-CN" w:bidi="ar"/>
        </w:rPr>
        <w:t>基金监督和信息管理科</w:t>
      </w:r>
      <w:r>
        <w:rPr>
          <w:rFonts w:hint="eastAsia" w:ascii="仿宋_GB2312" w:hAnsi="仿宋_GB2312" w:eastAsia="仿宋_GB2312" w:cs="仿宋_GB2312"/>
          <w:bCs/>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default" w:ascii="Times New Roman" w:hAnsi="Times New Roman" w:eastAsia="楷体_GB2312" w:cs="Times New Roman"/>
          <w:b/>
          <w:bCs w:val="0"/>
          <w:color w:val="000000"/>
          <w:sz w:val="32"/>
          <w:szCs w:val="32"/>
          <w:highlight w:val="none"/>
          <w:lang w:eastAsia="zh-CN"/>
        </w:rPr>
      </w:pPr>
      <w:r>
        <w:rPr>
          <w:rStyle w:val="7"/>
          <w:rFonts w:hint="default" w:ascii="Times New Roman" w:hAnsi="Times New Roman" w:eastAsia="楷体_GB2312" w:cs="Times New Roman"/>
          <w:b/>
          <w:bCs w:val="0"/>
          <w:color w:val="000000"/>
          <w:sz w:val="32"/>
          <w:szCs w:val="32"/>
          <w:highlight w:val="none"/>
          <w:lang w:eastAsia="zh-CN"/>
        </w:rPr>
        <w:t>二、</w:t>
      </w:r>
      <w:r>
        <w:rPr>
          <w:rStyle w:val="7"/>
          <w:rFonts w:hint="default" w:ascii="Times New Roman" w:hAnsi="Times New Roman" w:eastAsia="楷体_GB2312" w:cs="Times New Roman"/>
          <w:b/>
          <w:bCs w:val="0"/>
          <w:color w:val="000000"/>
          <w:sz w:val="32"/>
          <w:szCs w:val="32"/>
          <w:highlight w:val="none"/>
          <w:lang w:val="en-US" w:eastAsia="zh-CN"/>
        </w:rPr>
        <w:t>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7"/>
          <w:rFonts w:hint="default" w:ascii="Times New Roman" w:hAnsi="Times New Roman" w:eastAsia="楷体_GB2312" w:cs="Times New Roman"/>
          <w:b/>
          <w:bCs w:val="0"/>
          <w:color w:val="000000"/>
          <w:sz w:val="32"/>
          <w:szCs w:val="32"/>
          <w:highlight w:val="none"/>
        </w:rPr>
        <w:t>20</w:t>
      </w:r>
      <w:r>
        <w:rPr>
          <w:rStyle w:val="7"/>
          <w:rFonts w:hint="default" w:ascii="Times New Roman" w:hAnsi="Times New Roman" w:eastAsia="楷体_GB2312" w:cs="Times New Roman"/>
          <w:b/>
          <w:bCs w:val="0"/>
          <w:color w:val="000000"/>
          <w:sz w:val="32"/>
          <w:szCs w:val="32"/>
          <w:highlight w:val="none"/>
          <w:lang w:val="en-US" w:eastAsia="zh-CN"/>
        </w:rPr>
        <w:t>22</w:t>
      </w:r>
      <w:r>
        <w:rPr>
          <w:rStyle w:val="7"/>
          <w:rFonts w:hint="default" w:ascii="Times New Roman" w:hAnsi="Times New Roman" w:eastAsia="楷体_GB2312" w:cs="Times New Roman"/>
          <w:b/>
          <w:bCs w:val="0"/>
          <w:color w:val="000000"/>
          <w:sz w:val="32"/>
          <w:szCs w:val="32"/>
          <w:highlight w:val="none"/>
        </w:rPr>
        <w:t>年</w:t>
      </w:r>
      <w:r>
        <w:rPr>
          <w:rStyle w:val="7"/>
          <w:rFonts w:hint="default" w:ascii="Times New Roman" w:hAnsi="Times New Roman" w:eastAsia="楷体_GB2312" w:cs="Times New Roman"/>
          <w:b/>
          <w:bCs w:val="0"/>
          <w:color w:val="000000"/>
          <w:sz w:val="32"/>
          <w:szCs w:val="32"/>
          <w:highlight w:val="none"/>
          <w:lang w:eastAsia="zh-CN"/>
        </w:rPr>
        <w:t>单位</w:t>
      </w:r>
      <w:r>
        <w:rPr>
          <w:rStyle w:val="7"/>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Style w:val="7"/>
          <w:rFonts w:hint="default" w:ascii="Times New Roman" w:hAnsi="Times New Roman" w:eastAsia="楷体_GB2312" w:cs="Times New Roman"/>
          <w:b/>
          <w:bCs w:val="0"/>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7"/>
          <w:rFonts w:hint="default" w:ascii="Times New Roman" w:hAnsi="Times New Roman" w:eastAsia="楷体_GB2312" w:cs="Times New Roman"/>
          <w:b/>
          <w:bCs w:val="0"/>
          <w:color w:val="000000"/>
          <w:sz w:val="32"/>
          <w:szCs w:val="32"/>
          <w:highlight w:val="none"/>
          <w:lang w:val="en-US" w:eastAsia="zh-CN"/>
        </w:rPr>
        <w:t>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7"/>
          <w:rFonts w:hint="default" w:ascii="Times New Roman" w:hAnsi="Times New Roman" w:eastAsia="楷体_GB2312" w:cs="Times New Roman"/>
          <w:b/>
          <w:bCs w:val="0"/>
          <w:color w:val="000000"/>
          <w:sz w:val="32"/>
          <w:szCs w:val="32"/>
          <w:highlight w:val="none"/>
        </w:rPr>
        <w:t>20</w:t>
      </w:r>
      <w:r>
        <w:rPr>
          <w:rStyle w:val="7"/>
          <w:rFonts w:hint="default" w:ascii="Times New Roman" w:hAnsi="Times New Roman" w:eastAsia="楷体_GB2312" w:cs="Times New Roman"/>
          <w:b/>
          <w:bCs w:val="0"/>
          <w:color w:val="000000"/>
          <w:sz w:val="32"/>
          <w:szCs w:val="32"/>
          <w:highlight w:val="none"/>
          <w:lang w:val="en-US" w:eastAsia="zh-CN"/>
        </w:rPr>
        <w:t>22</w:t>
      </w:r>
      <w:r>
        <w:rPr>
          <w:rStyle w:val="7"/>
          <w:rFonts w:hint="default" w:ascii="Times New Roman" w:hAnsi="Times New Roman" w:eastAsia="楷体_GB2312" w:cs="Times New Roman"/>
          <w:b/>
          <w:bCs w:val="0"/>
          <w:color w:val="000000"/>
          <w:sz w:val="32"/>
          <w:szCs w:val="32"/>
          <w:highlight w:val="none"/>
        </w:rPr>
        <w:t>年</w:t>
      </w:r>
      <w:r>
        <w:rPr>
          <w:rStyle w:val="7"/>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综合预算的原则，兰溪市</w:t>
      </w:r>
      <w:r>
        <w:rPr>
          <w:rFonts w:hint="eastAsia" w:ascii="Times New Roman" w:hAnsi="Times New Roman" w:eastAsia="仿宋_GB2312" w:cs="Times New Roman"/>
          <w:b w:val="0"/>
          <w:bCs/>
          <w:sz w:val="32"/>
          <w:szCs w:val="32"/>
          <w:highlight w:val="none"/>
          <w:lang w:val="en-US" w:eastAsia="zh-CN"/>
        </w:rPr>
        <w:t>人力资源和社会保障局（本级）</w:t>
      </w:r>
      <w:r>
        <w:rPr>
          <w:rFonts w:hint="default" w:ascii="Times New Roman" w:hAnsi="Times New Roman" w:eastAsia="仿宋_GB2312" w:cs="Times New Roman"/>
          <w:b w:val="0"/>
          <w:bCs/>
          <w:sz w:val="32"/>
          <w:szCs w:val="32"/>
          <w:highlight w:val="none"/>
          <w:lang w:val="en-US" w:eastAsia="zh-CN"/>
        </w:rPr>
        <w:t>所</w:t>
      </w:r>
      <w:r>
        <w:rPr>
          <w:rFonts w:hint="default" w:ascii="Times New Roman" w:hAnsi="Times New Roman" w:eastAsia="仿宋_GB2312" w:cs="Times New Roman"/>
          <w:color w:val="000000"/>
          <w:sz w:val="32"/>
          <w:szCs w:val="32"/>
          <w:highlight w:val="none"/>
          <w:lang w:eastAsia="zh-CN"/>
        </w:rPr>
        <w:t>有收入和支出均纳入</w:t>
      </w:r>
      <w:r>
        <w:rPr>
          <w:rFonts w:hint="default" w:ascii="Times New Roman" w:hAnsi="Times New Roman" w:eastAsia="仿宋_GB2312" w:cs="Times New Roman"/>
          <w:color w:val="000000"/>
          <w:sz w:val="32"/>
          <w:szCs w:val="32"/>
          <w:highlight w:val="none"/>
          <w:lang w:val="en-US" w:eastAsia="zh-CN"/>
        </w:rPr>
        <w:t>单位</w:t>
      </w:r>
      <w:r>
        <w:rPr>
          <w:rFonts w:hint="default" w:ascii="Times New Roman" w:hAnsi="Times New Roman" w:eastAsia="仿宋_GB2312" w:cs="Times New Roman"/>
          <w:color w:val="000000"/>
          <w:sz w:val="32"/>
          <w:szCs w:val="32"/>
          <w:highlight w:val="none"/>
          <w:lang w:eastAsia="zh-CN"/>
        </w:rPr>
        <w:t>预算管理。收入包括：一般公共预算拨款收入；支出包括：社会保障和就业支出、卫生健康支出。</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w:t>
      </w:r>
      <w:r>
        <w:rPr>
          <w:rStyle w:val="7"/>
          <w:rFonts w:hint="default" w:ascii="Times New Roman" w:hAnsi="Times New Roman" w:eastAsia="楷体_GB2312" w:cs="Times New Roman"/>
          <w:b/>
          <w:bCs w:val="0"/>
          <w:color w:val="000000"/>
          <w:sz w:val="32"/>
          <w:szCs w:val="32"/>
          <w:highlight w:val="none"/>
          <w:lang w:val="en-US" w:eastAsia="zh-CN"/>
        </w:rPr>
        <w:t>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color w:val="000000"/>
          <w:sz w:val="32"/>
          <w:szCs w:val="32"/>
          <w:highlight w:val="none"/>
          <w:lang w:eastAsia="zh-CN"/>
        </w:rPr>
        <w:t>一般公共预算拨款收入</w:t>
      </w:r>
      <w:r>
        <w:rPr>
          <w:rFonts w:hint="eastAsia" w:ascii="Times New Roman" w:hAnsi="Times New Roman" w:eastAsia="仿宋_GB2312" w:cs="Times New Roman"/>
          <w:color w:val="000000"/>
          <w:sz w:val="32"/>
          <w:szCs w:val="32"/>
          <w:highlight w:val="none"/>
          <w:lang w:val="en-US" w:eastAsia="zh-CN"/>
        </w:rPr>
        <w:t>1404.8</w:t>
      </w:r>
      <w:r>
        <w:rPr>
          <w:rFonts w:hint="eastAsia" w:ascii="Times New Roman" w:hAnsi="Times New Roman" w:eastAsia="仿宋_GB2312" w:cs="Times New Roman"/>
          <w:b w:val="0"/>
          <w:bCs/>
          <w:color w:val="000000"/>
          <w:sz w:val="32"/>
          <w:szCs w:val="32"/>
          <w:highlight w:val="none"/>
          <w:lang w:val="en-US" w:eastAsia="zh-CN"/>
        </w:rPr>
        <w:t>068</w:t>
      </w:r>
      <w:r>
        <w:rPr>
          <w:rFonts w:hint="default" w:ascii="Times New Roman" w:hAnsi="Times New Roman" w:eastAsia="仿宋_GB2312" w:cs="Times New Roman"/>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100</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w:t>
      </w:r>
      <w:r>
        <w:rPr>
          <w:rFonts w:hint="eastAsia" w:ascii="Times New Roman" w:hAnsi="Times New Roman" w:eastAsia="仿宋_GB2312" w:cs="Times New Roman"/>
          <w:b w:val="0"/>
          <w:bCs/>
          <w:color w:val="000000"/>
          <w:sz w:val="32"/>
          <w:szCs w:val="32"/>
          <w:highlight w:val="none"/>
          <w:lang w:val="en-US" w:eastAsia="zh-CN"/>
        </w:rPr>
        <w:t>6.47</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3.69</w:t>
      </w:r>
      <w:r>
        <w:rPr>
          <w:rFonts w:hint="default" w:ascii="Times New Roman" w:hAnsi="Times New Roman" w:eastAsia="仿宋_GB2312" w:cs="Times New Roman"/>
          <w:b w:val="0"/>
          <w:bCs/>
          <w:color w:val="000000"/>
          <w:sz w:val="32"/>
          <w:szCs w:val="32"/>
          <w:highlight w:val="none"/>
        </w:rPr>
        <w:t>%；项目支出</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49.</w:t>
      </w:r>
      <w:r>
        <w:rPr>
          <w:rFonts w:hint="eastAsia" w:ascii="Times New Roman" w:hAnsi="Times New Roman" w:eastAsia="仿宋_GB2312" w:cs="Times New Roman"/>
          <w:b w:val="0"/>
          <w:bCs/>
          <w:color w:val="000000"/>
          <w:sz w:val="32"/>
          <w:szCs w:val="32"/>
          <w:highlight w:val="none"/>
          <w:lang w:val="en-US" w:eastAsia="zh-CN"/>
        </w:rPr>
        <w:t>84</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2022年财政拨款收支总预算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万元。包括：一般公共预算拨款收入</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万元；支出包括：社会保障和就业支出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2022年一般公共预算当年拨款</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highlight w:val="none"/>
          <w:lang w:val="en-US" w:eastAsia="zh-CN"/>
        </w:rPr>
        <w:t>下降17.06</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万元，占9</w:t>
      </w: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val="en-US" w:eastAsia="zh-CN"/>
        </w:rPr>
        <w:t>97</w:t>
      </w:r>
      <w:r>
        <w:rPr>
          <w:rFonts w:hint="default" w:ascii="Times New Roman" w:hAnsi="Times New Roman" w:eastAsia="仿宋_GB2312" w:cs="Times New Roman"/>
          <w:b w:val="0"/>
          <w:bCs/>
          <w:color w:val="000000"/>
          <w:sz w:val="32"/>
          <w:szCs w:val="32"/>
          <w:highlight w:val="none"/>
          <w:lang w:val="en-US"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万元，占</w:t>
      </w:r>
      <w:r>
        <w:rPr>
          <w:rFonts w:hint="eastAsia" w:ascii="Times New Roman" w:hAnsi="Times New Roman" w:eastAsia="仿宋_GB2312" w:cs="Times New Roman"/>
          <w:b w:val="0"/>
          <w:bCs/>
          <w:color w:val="000000"/>
          <w:sz w:val="32"/>
          <w:szCs w:val="32"/>
          <w:highlight w:val="none"/>
          <w:lang w:val="en-US" w:eastAsia="zh-CN"/>
        </w:rPr>
        <w:t>1.03%</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spacing w:line="560" w:lineRule="exact"/>
        <w:ind w:firstLine="640"/>
        <w:jc w:val="left"/>
        <w:rPr>
          <w:rFonts w:hint="eastAsia" w:ascii="仿宋_GB2312" w:hAnsi="仿宋_GB2312" w:eastAsia="仿宋_GB2312" w:cs="仿宋_GB2312"/>
          <w:bCs/>
          <w:color w:val="000000"/>
          <w:sz w:val="32"/>
          <w:szCs w:val="32"/>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208010</w:t>
      </w:r>
      <w:r>
        <w:rPr>
          <w:rFonts w:hint="eastAsia"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rPr>
        <w:t>行政运行</w:t>
      </w:r>
      <w:r>
        <w:rPr>
          <w:rFonts w:hint="eastAsia" w:ascii="Times New Roman" w:hAnsi="Times New Roman" w:eastAsia="仿宋_GB2312" w:cs="Times New Roman"/>
          <w:b w:val="0"/>
          <w:bCs/>
          <w:color w:val="000000"/>
          <w:sz w:val="32"/>
          <w:szCs w:val="32"/>
          <w:highlight w:val="none"/>
          <w:lang w:val="en-US" w:eastAsia="zh-CN"/>
        </w:rPr>
        <w:t>690.1852</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仿宋_GB2312" w:eastAsia="仿宋_GB2312" w:cs="仿宋_GB2312"/>
          <w:bCs/>
          <w:color w:val="000000"/>
          <w:sz w:val="32"/>
          <w:szCs w:val="32"/>
        </w:rPr>
        <w:t>行政单位的基本支出。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eastAsia="仿宋_GB2312" w:cs="Times New Roman"/>
          <w:b w:val="0"/>
          <w:bCs/>
          <w:color w:val="000000"/>
          <w:sz w:val="32"/>
          <w:szCs w:val="32"/>
          <w:highlight w:val="none"/>
          <w:lang w:val="en-US" w:eastAsia="zh-CN"/>
        </w:rPr>
        <w:t>其他人力资源和社会保障管理事务支出700.1002万元，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rPr>
        <w:t>社会保障和就业方面的</w:t>
      </w:r>
      <w:r>
        <w:rPr>
          <w:rFonts w:hint="eastAsia" w:ascii="Times New Roman" w:hAnsi="Times New Roman" w:eastAsia="仿宋_GB2312" w:cs="Times New Roman"/>
          <w:b w:val="0"/>
          <w:bCs/>
          <w:color w:val="000000"/>
          <w:sz w:val="32"/>
          <w:szCs w:val="32"/>
          <w:highlight w:val="none"/>
          <w:lang w:val="en-US" w:eastAsia="zh-CN"/>
        </w:rPr>
        <w:t>项目</w:t>
      </w:r>
      <w:r>
        <w:rPr>
          <w:rFonts w:hint="eastAsia" w:ascii="Times New Roman" w:hAnsi="Times New Roman" w:eastAsia="仿宋_GB2312" w:cs="Times New Roman"/>
          <w:b w:val="0"/>
          <w:bCs/>
          <w:color w:val="000000"/>
          <w:sz w:val="32"/>
          <w:szCs w:val="32"/>
          <w:highlight w:val="none"/>
        </w:rPr>
        <w:t>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（3）2101101</w:t>
      </w:r>
      <w:r>
        <w:rPr>
          <w:rFonts w:hint="default" w:ascii="Times New Roman" w:hAnsi="Times New Roman" w:eastAsia="仿宋_GB2312" w:cs="Times New Roman"/>
          <w:b w:val="0"/>
          <w:bCs/>
          <w:color w:val="000000"/>
          <w:sz w:val="32"/>
          <w:szCs w:val="32"/>
          <w:highlight w:val="none"/>
        </w:rPr>
        <w:t>行政单位医疗</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宋体" w:eastAsia="仿宋_GB2312" w:cs="仿宋_GB2312"/>
          <w:color w:val="000000"/>
          <w:sz w:val="32"/>
          <w:szCs w:val="32"/>
          <w:shd w:val="clear" w:color="auto" w:fill="FFFFFF"/>
        </w:rPr>
        <w:t>行政单位</w:t>
      </w:r>
      <w:r>
        <w:rPr>
          <w:rFonts w:hint="eastAsia" w:ascii="Times New Roman" w:hAnsi="Times New Roman" w:eastAsia="仿宋_GB2312" w:cs="Times New Roman"/>
          <w:b w:val="0"/>
          <w:bCs/>
          <w:color w:val="000000"/>
          <w:sz w:val="32"/>
          <w:szCs w:val="32"/>
          <w:highlight w:val="none"/>
        </w:rPr>
        <w:t>（包括实行公务员管理的事业单位）的医疗保险缴费经费支出。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val="en-US" w:eastAsia="zh-CN"/>
        </w:rPr>
        <w:t>（六）</w:t>
      </w:r>
      <w:r>
        <w:rPr>
          <w:rFonts w:hint="default" w:ascii="Times New Roman" w:hAnsi="Times New Roman" w:eastAsia="楷体_GB2312" w:cs="Times New Roman"/>
          <w:b/>
          <w:bCs w:val="0"/>
          <w:color w:val="000000"/>
          <w:sz w:val="32"/>
          <w:szCs w:val="32"/>
          <w:highlight w:val="none"/>
          <w:lang w:eastAsia="zh-CN"/>
        </w:rPr>
        <w:t>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704.7066</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退休费</w:t>
      </w:r>
      <w:r>
        <w:rPr>
          <w:rFonts w:hint="eastAsia" w:ascii="Times New Roman" w:hAnsi="Times New Roman" w:eastAsia="仿宋_GB2312" w:cs="Times New Roman"/>
          <w:b w:val="0"/>
          <w:bCs/>
          <w:color w:val="000000"/>
          <w:sz w:val="32"/>
          <w:szCs w:val="32"/>
          <w:highlight w:val="none"/>
          <w:lang w:val="en-US" w:eastAsia="zh-CN"/>
        </w:rPr>
        <w:t>、生活补助。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auto"/>
          <w:sz w:val="32"/>
          <w:szCs w:val="32"/>
          <w:highlight w:val="none"/>
          <w:lang w:val="en-US" w:eastAsia="zh-CN"/>
        </w:rPr>
        <w:t>29.4000</w:t>
      </w:r>
      <w:r>
        <w:rPr>
          <w:rFonts w:hint="default" w:ascii="Times New Roman" w:hAnsi="Times New Roman" w:eastAsia="仿宋_GB2312" w:cs="Times New Roman"/>
          <w:b w:val="0"/>
          <w:bCs/>
          <w:color w:val="000000"/>
          <w:sz w:val="32"/>
          <w:szCs w:val="32"/>
          <w:highlight w:val="none"/>
          <w:lang w:val="en-US" w:eastAsia="zh-CN"/>
        </w:rPr>
        <w:t>万元，主要包括：办公费、物业管理费、差旅费、公务接待费、工会经费、福利费、其他商品和服务支出</w:t>
      </w:r>
      <w:r>
        <w:rPr>
          <w:rFonts w:hint="eastAsia" w:ascii="Times New Roman" w:hAnsi="Times New Roman" w:eastAsia="仿宋_GB2312" w:cs="Times New Roman"/>
          <w:b w:val="0"/>
          <w:bCs/>
          <w:color w:val="000000"/>
          <w:sz w:val="32"/>
          <w:szCs w:val="32"/>
          <w:highlight w:val="none"/>
          <w:lang w:val="en-US" w:eastAsia="zh-CN"/>
        </w:rPr>
        <w:t>、办公设备购置</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w:t>
      </w:r>
      <w:r>
        <w:rPr>
          <w:rFonts w:hint="eastAsia" w:ascii="Times New Roman" w:hAnsi="Times New Roman" w:eastAsia="仿宋_GB2312" w:cs="Times New Roman"/>
          <w:b w:val="0"/>
          <w:bCs/>
          <w:color w:val="000000"/>
          <w:sz w:val="32"/>
          <w:szCs w:val="32"/>
          <w:highlight w:val="none"/>
          <w:lang w:val="en-US" w:eastAsia="zh-CN"/>
        </w:rPr>
        <w:t>17.7840</w:t>
      </w:r>
      <w:r>
        <w:rPr>
          <w:rFonts w:hint="default" w:ascii="Times New Roman" w:hAnsi="Times New Roman" w:eastAsia="仿宋_GB2312" w:cs="Times New Roman"/>
          <w:b w:val="0"/>
          <w:bCs/>
          <w:color w:val="000000"/>
          <w:sz w:val="32"/>
          <w:szCs w:val="32"/>
          <w:highlight w:val="none"/>
          <w:lang w:val="en-US" w:eastAsia="zh-CN"/>
        </w:rPr>
        <w:t>万元；公共交通费</w:t>
      </w:r>
      <w:r>
        <w:rPr>
          <w:rFonts w:hint="eastAsia" w:ascii="Times New Roman" w:hAnsi="Times New Roman" w:eastAsia="仿宋_GB2312" w:cs="Times New Roman"/>
          <w:b w:val="0"/>
          <w:bCs/>
          <w:color w:val="000000"/>
          <w:sz w:val="32"/>
          <w:szCs w:val="32"/>
          <w:highlight w:val="none"/>
          <w:lang w:val="en-US" w:eastAsia="zh-CN"/>
        </w:rPr>
        <w:t>2.6676</w:t>
      </w:r>
      <w:r>
        <w:rPr>
          <w:rFonts w:hint="default" w:ascii="Times New Roman" w:hAnsi="Times New Roman" w:eastAsia="仿宋_GB2312" w:cs="Times New Roman"/>
          <w:b w:val="0"/>
          <w:bCs/>
          <w:color w:val="000000"/>
          <w:sz w:val="32"/>
          <w:szCs w:val="32"/>
          <w:highlight w:val="none"/>
          <w:lang w:val="en-US" w:eastAsia="zh-CN"/>
        </w:rPr>
        <w:t>万元；机要通信和应急公务用车经费2</w:t>
      </w:r>
      <w:r>
        <w:rPr>
          <w:rFonts w:hint="eastAsia" w:ascii="Times New Roman" w:hAnsi="Times New Roman" w:eastAsia="仿宋_GB2312" w:cs="Times New Roman"/>
          <w:b w:val="0"/>
          <w:bCs/>
          <w:color w:val="000000"/>
          <w:sz w:val="32"/>
          <w:szCs w:val="32"/>
          <w:highlight w:val="none"/>
          <w:lang w:val="en-US" w:eastAsia="zh-CN"/>
        </w:rPr>
        <w:t>.0000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（八）关于兰溪市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Style w:val="7"/>
          <w:rFonts w:hint="eastAsia" w:ascii="Times New Roman" w:hAnsi="Times New Roman" w:eastAsia="楷体_GB2312" w:cs="Times New Roman"/>
          <w:b/>
          <w:bCs w:val="0"/>
          <w:color w:val="000000"/>
          <w:sz w:val="32"/>
          <w:szCs w:val="32"/>
          <w:highlight w:val="none"/>
          <w:lang w:val="en-US" w:eastAsia="zh-CN"/>
        </w:rPr>
        <w:t>（本级）</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kern w:val="2"/>
          <w:sz w:val="32"/>
          <w:szCs w:val="32"/>
          <w:highlight w:val="none"/>
          <w:lang w:eastAsia="zh-CN"/>
        </w:rPr>
        <w:t>202</w:t>
      </w:r>
      <w:r>
        <w:rPr>
          <w:rFonts w:hint="default" w:ascii="Times New Roman" w:hAnsi="Times New Roman" w:eastAsia="仿宋_GB2312" w:cs="Times New Roman"/>
          <w:b w:val="0"/>
          <w:bCs/>
          <w:color w:val="000000"/>
          <w:kern w:val="2"/>
          <w:sz w:val="32"/>
          <w:szCs w:val="32"/>
          <w:highlight w:val="none"/>
          <w:lang w:val="en-US" w:eastAsia="zh-CN"/>
        </w:rPr>
        <w:t>2</w:t>
      </w:r>
      <w:r>
        <w:rPr>
          <w:rFonts w:hint="default" w:ascii="Times New Roman" w:hAnsi="Times New Roman" w:eastAsia="仿宋_GB2312" w:cs="Times New Roman"/>
          <w:b w:val="0"/>
          <w:bCs/>
          <w:color w:val="000000"/>
          <w:kern w:val="2"/>
          <w:sz w:val="32"/>
          <w:szCs w:val="32"/>
          <w:highlight w:val="none"/>
        </w:rPr>
        <w:t xml:space="preserve"> 年“三公”经费预算数为</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eastAsia" w:ascii="Times New Roman" w:hAnsi="Times New Roman" w:eastAsia="仿宋_GB2312" w:cs="Times New Roman"/>
          <w:b w:val="0"/>
          <w:bCs/>
          <w:color w:val="000000"/>
          <w:sz w:val="32"/>
          <w:szCs w:val="32"/>
          <w:highlight w:val="none"/>
          <w:lang w:val="en-US" w:eastAsia="zh-CN"/>
        </w:rPr>
        <w:t>0.3800</w:t>
      </w:r>
      <w:r>
        <w:rPr>
          <w:rFonts w:hint="default" w:ascii="Times New Roman" w:hAnsi="Times New Roman" w:eastAsia="仿宋_GB2312" w:cs="Times New Roman"/>
          <w:b w:val="0"/>
          <w:bCs/>
          <w:color w:val="000000"/>
          <w:kern w:val="2"/>
          <w:sz w:val="32"/>
          <w:szCs w:val="32"/>
          <w:highlight w:val="none"/>
        </w:rPr>
        <w:t>万元，增长</w:t>
      </w:r>
      <w:r>
        <w:rPr>
          <w:rFonts w:hint="eastAsia" w:ascii="Times New Roman" w:hAnsi="Times New Roman" w:eastAsia="仿宋_GB2312" w:cs="Times New Roman"/>
          <w:b w:val="0"/>
          <w:bCs/>
          <w:color w:val="000000"/>
          <w:sz w:val="32"/>
          <w:szCs w:val="32"/>
          <w:highlight w:val="none"/>
          <w:lang w:val="en-US" w:eastAsia="zh-CN"/>
        </w:rPr>
        <w:t>39.18</w:t>
      </w:r>
      <w:r>
        <w:rPr>
          <w:rFonts w:hint="default" w:ascii="Times New Roman" w:hAnsi="Times New Roman" w:eastAsia="仿宋_GB2312" w:cs="Times New Roman"/>
          <w:b w:val="0"/>
          <w:bCs/>
          <w:color w:val="000000"/>
          <w:kern w:val="2"/>
          <w:sz w:val="32"/>
          <w:szCs w:val="32"/>
          <w:highlight w:val="none"/>
          <w:lang w:val="en-US" w:eastAsia="zh-CN"/>
        </w:rPr>
        <w:t xml:space="preserve"> </w:t>
      </w:r>
      <w:r>
        <w:rPr>
          <w:rFonts w:hint="default" w:ascii="Times New Roman" w:hAnsi="Times New Roman" w:eastAsia="仿宋_GB2312" w:cs="Times New Roman"/>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万元，比上年执行数增长（或下降）</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年安排公务接待费预算</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eastAsia" w:ascii="Times New Roman" w:hAnsi="Times New Roman" w:eastAsia="仿宋_GB2312" w:cs="Times New Roman"/>
          <w:b w:val="0"/>
          <w:bCs/>
          <w:sz w:val="32"/>
          <w:szCs w:val="32"/>
          <w:highlight w:val="none"/>
          <w:lang w:val="en-US" w:eastAsia="zh-CN"/>
        </w:rPr>
        <w:t>39.18</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default" w:ascii="Times New Roman" w:hAnsi="Times New Roman" w:eastAsia="仿宋_GB2312" w:cs="Times New Roman"/>
          <w:b w:val="0"/>
          <w:bCs/>
          <w:sz w:val="32"/>
          <w:szCs w:val="32"/>
          <w:highlight w:val="none"/>
          <w:lang w:val="en-US" w:eastAsia="zh-CN"/>
        </w:rPr>
        <w:t>2021年预算数</w:t>
      </w:r>
      <w:r>
        <w:rPr>
          <w:rFonts w:hint="eastAsia" w:ascii="Times New Roman" w:hAnsi="Times New Roman" w:eastAsia="仿宋_GB2312" w:cs="Times New Roman"/>
          <w:b w:val="0"/>
          <w:bCs/>
          <w:sz w:val="32"/>
          <w:szCs w:val="32"/>
          <w:highlight w:val="none"/>
          <w:lang w:val="en-US" w:eastAsia="zh-CN"/>
        </w:rPr>
        <w:t>也</w:t>
      </w:r>
      <w:r>
        <w:rPr>
          <w:rFonts w:hint="default" w:ascii="Times New Roman" w:hAnsi="Times New Roman" w:eastAsia="仿宋_GB2312" w:cs="Times New Roman"/>
          <w:b w:val="0"/>
          <w:bCs/>
          <w:sz w:val="32"/>
          <w:szCs w:val="32"/>
          <w:highlight w:val="none"/>
          <w:lang w:val="en-US" w:eastAsia="zh-CN"/>
        </w:rPr>
        <w:t>为</w:t>
      </w:r>
      <w:r>
        <w:rPr>
          <w:rFonts w:hint="eastAsia" w:ascii="Times New Roman" w:hAnsi="Times New Roman" w:eastAsia="仿宋_GB2312" w:cs="Times New Roman"/>
          <w:b w:val="0"/>
          <w:bCs/>
          <w:sz w:val="32"/>
          <w:szCs w:val="32"/>
          <w:highlight w:val="none"/>
          <w:lang w:val="en-US" w:eastAsia="zh-CN"/>
        </w:rPr>
        <w:t>1.3500</w:t>
      </w:r>
      <w:r>
        <w:rPr>
          <w:rFonts w:hint="default" w:ascii="Times New Roman" w:hAnsi="Times New Roman" w:eastAsia="仿宋_GB2312" w:cs="Times New Roman"/>
          <w:b w:val="0"/>
          <w:bCs/>
          <w:sz w:val="32"/>
          <w:szCs w:val="32"/>
          <w:highlight w:val="none"/>
          <w:lang w:val="en-US" w:eastAsia="zh-CN"/>
        </w:rPr>
        <w:t>万元</w:t>
      </w:r>
      <w:r>
        <w:rPr>
          <w:rFonts w:hint="eastAsia" w:ascii="Times New Roman" w:hAnsi="Times New Roman" w:eastAsia="仿宋_GB2312" w:cs="Times New Roman"/>
          <w:b w:val="0"/>
          <w:bCs/>
          <w:sz w:val="32"/>
          <w:szCs w:val="32"/>
          <w:highlight w:val="none"/>
          <w:lang w:val="en-US" w:eastAsia="zh-CN"/>
        </w:rPr>
        <w:t>，预算与上年持平</w:t>
      </w:r>
      <w:r>
        <w:rPr>
          <w:rFonts w:hint="default" w:ascii="Times New Roman" w:hAnsi="Times New Roman" w:eastAsia="仿宋_GB2312" w:cs="Times New Roman"/>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bCs w:val="0"/>
          <w:sz w:val="32"/>
          <w:szCs w:val="32"/>
          <w:highlight w:val="none"/>
          <w:u w:val="single"/>
          <w:lang w:eastAsia="zh-CN"/>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执行数增长（或</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w:t>
      </w:r>
      <w:r>
        <w:rPr>
          <w:rFonts w:hint="default" w:ascii="Times New Roman" w:hAnsi="Times New Roman" w:eastAsia="仿宋_GB2312" w:cs="Times New Roman"/>
          <w:b w:val="0"/>
          <w:bCs/>
          <w:sz w:val="32"/>
          <w:szCs w:val="32"/>
          <w:highlight w:val="none"/>
          <w:lang w:val="en-US" w:eastAsia="zh-CN"/>
        </w:rPr>
        <w:t>行政</w:t>
      </w:r>
      <w:r>
        <w:rPr>
          <w:rFonts w:hint="default" w:ascii="Times New Roman" w:hAnsi="Times New Roman" w:eastAsia="仿宋_GB2312" w:cs="Times New Roman"/>
          <w:b w:val="0"/>
          <w:bCs/>
          <w:color w:val="000000"/>
          <w:sz w:val="32"/>
          <w:szCs w:val="32"/>
          <w:highlight w:val="none"/>
          <w:lang w:eastAsia="zh-CN"/>
        </w:rPr>
        <w:t>单位的机关运行经费财政拨款预算</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w:t>
      </w:r>
      <w:r>
        <w:rPr>
          <w:rFonts w:hint="eastAsia" w:ascii="Times New Roman" w:hAnsi="Times New Roman" w:eastAsia="仿宋_GB2312" w:cs="Times New Roman"/>
          <w:color w:val="000000"/>
          <w:sz w:val="32"/>
          <w:szCs w:val="32"/>
          <w:highlight w:val="none"/>
          <w:lang w:val="en-US" w:eastAsia="zh-CN"/>
        </w:rPr>
        <w:t>12.0684</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w:t>
      </w:r>
      <w:r>
        <w:rPr>
          <w:rFonts w:hint="eastAsia" w:ascii="Times New Roman" w:hAnsi="Times New Roman" w:eastAsia="仿宋_GB2312" w:cs="Times New Roman"/>
          <w:kern w:val="2"/>
          <w:sz w:val="32"/>
          <w:szCs w:val="32"/>
          <w:shd w:val="clear" w:color="auto" w:fill="auto"/>
          <w:lang w:val="en-US" w:eastAsia="zh-CN" w:bidi="ar"/>
        </w:rPr>
        <w:t>18.88</w:t>
      </w:r>
      <w:r>
        <w:rPr>
          <w:rFonts w:hint="default" w:ascii="Times New Roman" w:hAnsi="Times New Roman" w:eastAsia="仿宋_GB2312" w:cs="Times New Roman"/>
          <w:kern w:val="2"/>
          <w:sz w:val="32"/>
          <w:szCs w:val="32"/>
          <w:shd w:val="clear" w:color="auto" w:fill="auto"/>
          <w:lang w:val="en-US" w:eastAsia="zh-CN" w:bidi="ar"/>
        </w:rPr>
        <w:t>%，主要是伙食补助费</w:t>
      </w:r>
      <w:r>
        <w:rPr>
          <w:rFonts w:hint="eastAsia" w:ascii="Times New Roman" w:hAnsi="Times New Roman" w:eastAsia="仿宋_GB2312" w:cs="Times New Roman"/>
          <w:kern w:val="2"/>
          <w:sz w:val="32"/>
          <w:szCs w:val="32"/>
          <w:shd w:val="clear" w:color="auto" w:fill="auto"/>
          <w:lang w:val="en-US" w:eastAsia="zh-CN" w:bidi="ar"/>
        </w:rPr>
        <w:t>列支渠道有所调整，</w:t>
      </w:r>
      <w:r>
        <w:rPr>
          <w:rFonts w:hint="default" w:ascii="Times New Roman" w:hAnsi="Times New Roman" w:eastAsia="仿宋_GB2312" w:cs="Times New Roman"/>
          <w:kern w:val="2"/>
          <w:sz w:val="32"/>
          <w:szCs w:val="32"/>
          <w:shd w:val="clear" w:color="auto" w:fill="auto"/>
          <w:lang w:val="en-US" w:eastAsia="zh-CN" w:bidi="ar"/>
        </w:rPr>
        <w:t>由原来的公用经费调整至人员经费列支。</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eastAsia="zh-CN"/>
        </w:rPr>
        <w:t>政府采购预算总额</w:t>
      </w:r>
      <w:r>
        <w:rPr>
          <w:rFonts w:hint="eastAsia" w:ascii="Times New Roman" w:hAnsi="Times New Roman" w:eastAsia="仿宋_GB2312" w:cs="Times New Roman"/>
          <w:color w:val="000000"/>
          <w:sz w:val="32"/>
          <w:szCs w:val="32"/>
          <w:highlight w:val="none"/>
          <w:lang w:val="en-US" w:eastAsia="zh-CN"/>
        </w:rPr>
        <w:t>296.6976</w:t>
      </w:r>
      <w:r>
        <w:rPr>
          <w:rFonts w:hint="default" w:ascii="Times New Roman" w:hAnsi="Times New Roman" w:eastAsia="仿宋_GB2312" w:cs="Times New Roman"/>
          <w:color w:val="000000"/>
          <w:sz w:val="32"/>
          <w:szCs w:val="32"/>
          <w:highlight w:val="none"/>
          <w:lang w:val="en-US" w:eastAsia="zh-CN"/>
        </w:rPr>
        <w:t>万元，其中：政府采购货物预算</w:t>
      </w:r>
      <w:r>
        <w:rPr>
          <w:rFonts w:hint="eastAsia" w:ascii="Times New Roman" w:hAnsi="Times New Roman" w:eastAsia="仿宋_GB2312" w:cs="Times New Roman"/>
          <w:color w:val="000000"/>
          <w:sz w:val="32"/>
          <w:szCs w:val="32"/>
          <w:highlight w:val="none"/>
          <w:lang w:val="en-US" w:eastAsia="zh-CN"/>
        </w:rPr>
        <w:t>67</w:t>
      </w:r>
      <w:bookmarkStart w:id="0" w:name="_GoBack"/>
      <w:bookmarkEnd w:id="0"/>
      <w:r>
        <w:rPr>
          <w:rFonts w:hint="eastAsia" w:ascii="Times New Roman" w:hAnsi="Times New Roman" w:eastAsia="仿宋_GB2312" w:cs="Times New Roman"/>
          <w:color w:val="000000"/>
          <w:sz w:val="32"/>
          <w:szCs w:val="32"/>
          <w:highlight w:val="none"/>
          <w:lang w:val="en-US" w:eastAsia="zh-CN"/>
        </w:rPr>
        <w:t>.8000</w:t>
      </w:r>
      <w:r>
        <w:rPr>
          <w:rFonts w:hint="default" w:ascii="Times New Roman" w:hAnsi="Times New Roman" w:eastAsia="仿宋_GB2312" w:cs="Times New Roman"/>
          <w:color w:val="000000"/>
          <w:sz w:val="32"/>
          <w:szCs w:val="32"/>
          <w:highlight w:val="none"/>
          <w:lang w:val="en-US" w:eastAsia="zh-CN"/>
        </w:rPr>
        <w:t>万元、政府采购服务预算</w:t>
      </w:r>
      <w:r>
        <w:rPr>
          <w:rFonts w:hint="eastAsia" w:ascii="Times New Roman" w:hAnsi="Times New Roman" w:eastAsia="仿宋_GB2312" w:cs="Times New Roman"/>
          <w:color w:val="000000"/>
          <w:sz w:val="32"/>
          <w:szCs w:val="32"/>
          <w:highlight w:val="none"/>
          <w:lang w:val="en-US" w:eastAsia="zh-CN"/>
        </w:rPr>
        <w:t>227.8900</w:t>
      </w:r>
      <w:r>
        <w:rPr>
          <w:rFonts w:hint="default" w:ascii="Times New Roman" w:hAnsi="Times New Roman" w:eastAsia="仿宋_GB2312" w:cs="Times New Roman"/>
          <w:color w:val="000000"/>
          <w:sz w:val="32"/>
          <w:szCs w:val="32"/>
          <w:highlight w:val="none"/>
          <w:lang w:val="en-US" w:eastAsia="zh-CN"/>
        </w:rPr>
        <w:t>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2022年部门预算未安排购置车辆、单位价值50万元以上通用设备及单位价值100万元以上专用设备。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其他运转类和特定目标类项目均实行绩效目标管理，涉及一般公共预算当年拨款</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default" w:ascii="Times New Roman" w:hAnsi="Times New Roman" w:eastAsia="黑体" w:cs="Times New Roman"/>
          <w:b/>
          <w:bCs w:val="0"/>
          <w:sz w:val="32"/>
          <w:szCs w:val="32"/>
          <w:highlight w:val="none"/>
        </w:rPr>
      </w:pPr>
      <w:r>
        <w:rPr>
          <w:rStyle w:val="7"/>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b w:val="0"/>
          <w:bCs/>
          <w:color w:val="000000"/>
          <w:sz w:val="32"/>
          <w:szCs w:val="32"/>
          <w:highlight w:val="none"/>
          <w:lang w:val="en-US" w:eastAsia="zh-CN"/>
        </w:rPr>
        <w:t>6</w:t>
      </w:r>
      <w:r>
        <w:rPr>
          <w:rFonts w:hint="default" w:ascii="Times New Roman" w:hAnsi="Times New Roman" w:eastAsia="仿宋_GB2312" w:cs="Times New Roman"/>
          <w:b w:val="0"/>
          <w:bCs/>
          <w:color w:val="000000"/>
          <w:sz w:val="32"/>
          <w:szCs w:val="32"/>
          <w:highlight w:val="none"/>
        </w:rPr>
        <w:t>.2080101：指</w:t>
      </w:r>
      <w:r>
        <w:rPr>
          <w:rFonts w:hint="eastAsia" w:ascii="Times New Roman" w:hAnsi="Times New Roman" w:eastAsia="仿宋_GB2312" w:cs="Times New Roman"/>
          <w:b w:val="0"/>
          <w:bCs/>
          <w:color w:val="000000"/>
          <w:sz w:val="32"/>
          <w:szCs w:val="32"/>
          <w:highlight w:val="none"/>
          <w:lang w:val="en-US" w:eastAsia="zh-CN"/>
        </w:rPr>
        <w:t>社会保障和就业支出中的</w:t>
      </w:r>
      <w:r>
        <w:rPr>
          <w:rFonts w:hint="default" w:ascii="Times New Roman" w:hAnsi="Times New Roman" w:eastAsia="仿宋_GB2312" w:cs="Times New Roman"/>
          <w:b w:val="0"/>
          <w:bCs/>
          <w:color w:val="000000"/>
          <w:sz w:val="32"/>
          <w:szCs w:val="32"/>
          <w:highlight w:val="none"/>
        </w:rPr>
        <w:t>行政运行</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cs="Times New Roman"/>
          <w:b w:val="0"/>
          <w:bCs/>
          <w:color w:val="000000"/>
          <w:sz w:val="32"/>
          <w:szCs w:val="32"/>
          <w:highlight w:val="none"/>
          <w:lang w:val="en-US" w:eastAsia="zh-CN"/>
        </w:rPr>
        <w:t>：指</w:t>
      </w:r>
      <w:r>
        <w:rPr>
          <w:rFonts w:hint="eastAsia" w:ascii="Times New Roman" w:hAnsi="Times New Roman" w:eastAsia="仿宋_GB2312" w:cs="Times New Roman"/>
          <w:b w:val="0"/>
          <w:bCs/>
          <w:color w:val="000000"/>
          <w:sz w:val="32"/>
          <w:szCs w:val="32"/>
          <w:highlight w:val="none"/>
          <w:lang w:val="en-US" w:eastAsia="zh-CN"/>
        </w:rPr>
        <w:t>社会保障和就业支出中的其他人力资源和社会保障管理事务支出</w:t>
      </w:r>
      <w:r>
        <w:rPr>
          <w:rFonts w:hint="eastAsia" w:ascii="Times New Roman" w:hAnsi="Times New Roman"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2101101：指</w:t>
      </w:r>
      <w:r>
        <w:rPr>
          <w:rFonts w:hint="eastAsia" w:ascii="Times New Roman" w:hAnsi="Times New Roman" w:eastAsia="仿宋_GB2312" w:cs="Times New Roman"/>
          <w:b w:val="0"/>
          <w:bCs/>
          <w:color w:val="000000"/>
          <w:sz w:val="32"/>
          <w:szCs w:val="32"/>
          <w:highlight w:val="none"/>
          <w:lang w:val="en-US" w:eastAsia="zh-CN"/>
        </w:rPr>
        <w:t>卫生健康支出中的</w:t>
      </w:r>
      <w:r>
        <w:rPr>
          <w:rFonts w:hint="default" w:ascii="Times New Roman" w:hAnsi="Times New Roman" w:eastAsia="仿宋_GB2312" w:cs="Times New Roman"/>
          <w:b w:val="0"/>
          <w:bCs/>
          <w:color w:val="000000"/>
          <w:sz w:val="32"/>
          <w:szCs w:val="32"/>
          <w:highlight w:val="none"/>
          <w:lang w:val="en-US" w:eastAsia="zh-CN"/>
        </w:rPr>
        <w:t>行政单位医疗。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Times New Roman" w:hAnsi="Times New Roman" w:eastAsia="楷体_GB2312" w:cs="Times New Roman"/>
          <w:b/>
          <w:bCs w:val="0"/>
          <w:color w:val="00000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7"/>
          <w:rFonts w:hint="eastAsia" w:ascii="Times New Roman" w:hAnsi="Times New Roman" w:eastAsia="楷体_GB2312" w:cs="Times New Roman"/>
          <w:b/>
          <w:bCs w:val="0"/>
          <w:color w:val="000000"/>
          <w:sz w:val="32"/>
          <w:szCs w:val="32"/>
          <w:highlight w:val="none"/>
          <w:lang w:val="en-US" w:eastAsia="zh-CN"/>
        </w:rPr>
        <w:t>四</w:t>
      </w:r>
      <w:r>
        <w:rPr>
          <w:rStyle w:val="7"/>
          <w:rFonts w:hint="default" w:ascii="Times New Roman" w:hAnsi="Times New Roman" w:eastAsia="楷体_GB2312" w:cs="Times New Roman"/>
          <w:b/>
          <w:bCs w:val="0"/>
          <w:color w:val="000000"/>
          <w:sz w:val="32"/>
          <w:szCs w:val="32"/>
          <w:highlight w:val="none"/>
          <w:lang w:eastAsia="zh-CN"/>
        </w:rPr>
        <w:t>、</w:t>
      </w:r>
      <w:r>
        <w:rPr>
          <w:rStyle w:val="7"/>
          <w:rFonts w:hint="default" w:ascii="Times New Roman" w:hAnsi="Times New Roman" w:eastAsia="楷体_GB2312" w:cs="Times New Roman"/>
          <w:b/>
          <w:bCs w:val="0"/>
          <w:color w:val="000000"/>
          <w:sz w:val="32"/>
          <w:szCs w:val="32"/>
          <w:highlight w:val="none"/>
        </w:rPr>
        <w:t>20</w:t>
      </w:r>
      <w:r>
        <w:rPr>
          <w:rStyle w:val="7"/>
          <w:rFonts w:hint="default" w:ascii="Times New Roman" w:hAnsi="Times New Roman" w:eastAsia="楷体_GB2312" w:cs="Times New Roman"/>
          <w:b/>
          <w:bCs w:val="0"/>
          <w:color w:val="000000"/>
          <w:sz w:val="32"/>
          <w:szCs w:val="32"/>
          <w:highlight w:val="none"/>
          <w:lang w:val="en-US" w:eastAsia="zh-CN"/>
        </w:rPr>
        <w:t>22</w:t>
      </w:r>
      <w:r>
        <w:rPr>
          <w:rStyle w:val="7"/>
          <w:rFonts w:hint="default" w:ascii="Times New Roman" w:hAnsi="Times New Roman" w:eastAsia="楷体_GB2312" w:cs="Times New Roman"/>
          <w:b/>
          <w:bCs w:val="0"/>
          <w:color w:val="000000"/>
          <w:sz w:val="32"/>
          <w:szCs w:val="32"/>
          <w:highlight w:val="none"/>
        </w:rPr>
        <w:t>年</w:t>
      </w:r>
      <w:r>
        <w:rPr>
          <w:rStyle w:val="7"/>
          <w:rFonts w:hint="default" w:ascii="Times New Roman" w:hAnsi="Times New Roman" w:eastAsia="楷体_GB2312" w:cs="Times New Roman"/>
          <w:b/>
          <w:bCs w:val="0"/>
          <w:color w:val="000000"/>
          <w:sz w:val="32"/>
          <w:szCs w:val="32"/>
          <w:highlight w:val="none"/>
          <w:lang w:val="en-US" w:eastAsia="zh-CN"/>
        </w:rPr>
        <w:t>兰溪市</w:t>
      </w:r>
      <w:r>
        <w:rPr>
          <w:rStyle w:val="7"/>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7"/>
          <w:rFonts w:hint="default" w:ascii="Times New Roman" w:hAnsi="Times New Roman" w:eastAsia="楷体_GB2312" w:cs="Times New Roman"/>
          <w:b/>
          <w:bCs w:val="0"/>
          <w:color w:val="000000"/>
          <w:sz w:val="32"/>
          <w:szCs w:val="32"/>
          <w:highlight w:val="none"/>
          <w:lang w:eastAsia="zh-CN"/>
        </w:rPr>
        <w:t>单位</w:t>
      </w:r>
      <w:r>
        <w:rPr>
          <w:rStyle w:val="7"/>
          <w:rFonts w:hint="default" w:ascii="Times New Roman" w:hAnsi="Times New Roman" w:eastAsia="楷体_GB2312" w:cs="Times New Roman"/>
          <w:b/>
          <w:bCs w:val="0"/>
          <w:color w:val="000000"/>
          <w:sz w:val="32"/>
          <w:szCs w:val="32"/>
          <w:highlight w:val="none"/>
        </w:rPr>
        <w:t>预算</w:t>
      </w:r>
      <w:r>
        <w:rPr>
          <w:rStyle w:val="7"/>
          <w:rFonts w:hint="eastAsia" w:ascii="Times New Roman" w:hAnsi="Times New Roman" w:eastAsia="楷体_GB2312" w:cs="Times New Roman"/>
          <w:b/>
          <w:bCs w:val="0"/>
          <w:color w:val="000000"/>
          <w:sz w:val="32"/>
          <w:szCs w:val="32"/>
          <w:highlight w:val="none"/>
          <w:lang w:val="en-US" w:eastAsia="zh-CN"/>
        </w:rPr>
        <w:t>表</w:t>
      </w:r>
    </w:p>
    <w:tbl>
      <w:tblPr>
        <w:tblStyle w:val="4"/>
        <w:tblW w:w="12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100"/>
        <w:gridCol w:w="3474"/>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0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2"/>
        <w:rPr>
          <w:rFonts w:hint="eastAsia"/>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eastAsia"/>
          <w:lang w:val="en-US" w:eastAsia="zh-CN"/>
        </w:rPr>
      </w:pPr>
    </w:p>
    <w:tbl>
      <w:tblPr>
        <w:tblStyle w:val="4"/>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170"/>
        <w:gridCol w:w="1170"/>
        <w:gridCol w:w="1140"/>
        <w:gridCol w:w="481"/>
        <w:gridCol w:w="473"/>
        <w:gridCol w:w="473"/>
        <w:gridCol w:w="472"/>
        <w:gridCol w:w="465"/>
        <w:gridCol w:w="487"/>
        <w:gridCol w:w="479"/>
        <w:gridCol w:w="465"/>
        <w:gridCol w:w="476"/>
        <w:gridCol w:w="481"/>
        <w:gridCol w:w="476"/>
        <w:gridCol w:w="490"/>
        <w:gridCol w:w="474"/>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6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7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3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4016"/>
        <w:gridCol w:w="1116"/>
        <w:gridCol w:w="1016"/>
        <w:gridCol w:w="916"/>
        <w:gridCol w:w="1016"/>
        <w:gridCol w:w="416"/>
        <w:gridCol w:w="41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44"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9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1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lang w:eastAsia="zh-CN"/>
        </w:rPr>
      </w:pPr>
    </w:p>
    <w:tbl>
      <w:tblPr>
        <w:tblStyle w:val="4"/>
        <w:tblW w:w="125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475"/>
        <w:gridCol w:w="342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501"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4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2"/>
        <w:rPr>
          <w:rFonts w:hint="default"/>
          <w:lang w:eastAsia="zh-CN"/>
        </w:rPr>
      </w:pPr>
    </w:p>
    <w:tbl>
      <w:tblPr>
        <w:tblStyle w:val="4"/>
        <w:tblW w:w="12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749"/>
        <w:gridCol w:w="1560"/>
        <w:gridCol w:w="1560"/>
        <w:gridCol w:w="1560"/>
        <w:gridCol w:w="15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39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sz w:val="28"/>
          <w:szCs w:val="28"/>
          <w:lang w:eastAsia="zh-CN"/>
        </w:rPr>
      </w:pPr>
    </w:p>
    <w:tbl>
      <w:tblPr>
        <w:tblStyle w:val="4"/>
        <w:tblW w:w="12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295"/>
        <w:gridCol w:w="1980"/>
        <w:gridCol w:w="217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74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2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3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物业管理费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31002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办公设备购置</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2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tbl>
      <w:tblPr>
        <w:tblStyle w:val="4"/>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470"/>
        <w:gridCol w:w="1470"/>
        <w:gridCol w:w="1413"/>
        <w:gridCol w:w="1413"/>
        <w:gridCol w:w="1413"/>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p>
          <w:p>
            <w:pPr>
              <w:pStyle w:val="2"/>
              <w:widowControl/>
              <w:suppressLineNumbers w:val="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tbl>
      <w:tblPr>
        <w:tblStyle w:val="4"/>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1"/>
        <w:gridCol w:w="2430"/>
        <w:gridCol w:w="2760"/>
        <w:gridCol w:w="256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7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5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lang w:eastAsia="zh-CN"/>
        </w:rPr>
      </w:pPr>
    </w:p>
    <w:p>
      <w:pPr>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6"/>
        <w:gridCol w:w="429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290"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兰溪市人力资源和社会保障局人才工作项目经费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兰溪市人力资源和社会保障局企事业单位管理工作经费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兰溪市人力资源和社会保障局审计监督经费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兰溪市人力资源和社会保障局信息化建设经费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兰溪市人力资源和社会保障局业务工作经费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tabs>
          <w:tab w:val="left" w:pos="291"/>
        </w:tabs>
        <w:bidi w:val="0"/>
        <w:jc w:val="left"/>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p>
      <w:pPr>
        <w:pStyle w:val="2"/>
        <w:rPr>
          <w:rFonts w:hint="default"/>
          <w:lang w:val="en-US" w:eastAsia="zh-CN"/>
        </w:rPr>
      </w:pPr>
      <w:r>
        <w:rPr>
          <w:rFonts w:hint="eastAsia"/>
          <w:lang w:val="en-US" w:eastAsia="zh-CN"/>
        </w:rPr>
        <w:t xml:space="preserve"> </w:t>
      </w: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1F02344"/>
    <w:rsid w:val="05026850"/>
    <w:rsid w:val="056D3576"/>
    <w:rsid w:val="05E256B5"/>
    <w:rsid w:val="08AF427B"/>
    <w:rsid w:val="092A2287"/>
    <w:rsid w:val="0F9C4283"/>
    <w:rsid w:val="15727896"/>
    <w:rsid w:val="16CA1759"/>
    <w:rsid w:val="17A600E6"/>
    <w:rsid w:val="19A9171D"/>
    <w:rsid w:val="1AB81FF3"/>
    <w:rsid w:val="1F5256A3"/>
    <w:rsid w:val="20807B59"/>
    <w:rsid w:val="23700D72"/>
    <w:rsid w:val="245C222E"/>
    <w:rsid w:val="258F3D90"/>
    <w:rsid w:val="2A976AA6"/>
    <w:rsid w:val="2D4505BC"/>
    <w:rsid w:val="36CD5E97"/>
    <w:rsid w:val="37BF7959"/>
    <w:rsid w:val="3ABC647F"/>
    <w:rsid w:val="48B65B6A"/>
    <w:rsid w:val="4A504E51"/>
    <w:rsid w:val="4D7C1C91"/>
    <w:rsid w:val="4E396891"/>
    <w:rsid w:val="4FDB00B1"/>
    <w:rsid w:val="50BA64F2"/>
    <w:rsid w:val="5B4402BB"/>
    <w:rsid w:val="5FD006E5"/>
    <w:rsid w:val="7396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2">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link w:val="6"/>
    <w:semiHidden/>
    <w:qFormat/>
    <w:uiPriority w:val="0"/>
    <w:rPr>
      <w:szCs w:val="24"/>
    </w:rPr>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0">
    <w:name w:val="p0"/>
    <w:basedOn w:val="1"/>
    <w:qFormat/>
    <w:uiPriority w:val="0"/>
    <w:pPr>
      <w:widowControl/>
    </w:pPr>
    <w:rPr>
      <w:kern w:val="0"/>
      <w:szCs w:val="21"/>
    </w:rPr>
  </w:style>
  <w:style w:type="character" w:customStyle="1" w:styleId="11">
    <w:name w:val="标题 3 Char"/>
    <w:basedOn w:val="5"/>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2022-03-07T01:46:29Z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