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jc w:val="center"/>
        <w:rPr>
          <w:rFonts w:ascii="黑体" w:hAnsi="黑体" w:eastAsia="黑体"/>
          <w:b/>
          <w:spacing w:val="15"/>
          <w:sz w:val="44"/>
          <w:szCs w:val="44"/>
          <w:highlight w:val="white"/>
        </w:rPr>
      </w:pPr>
      <w:r>
        <w:rPr>
          <w:rFonts w:hint="eastAsia" w:ascii="黑体" w:hAnsi="黑体" w:eastAsia="黑体"/>
          <w:b/>
          <w:spacing w:val="15"/>
          <w:sz w:val="44"/>
          <w:szCs w:val="44"/>
          <w:highlight w:val="white"/>
        </w:rPr>
        <w:t>兰溪市卫生健康局</w:t>
      </w:r>
    </w:p>
    <w:p>
      <w:pPr>
        <w:spacing w:line="324" w:lineRule="auto"/>
        <w:jc w:val="center"/>
        <w:rPr>
          <w:rFonts w:ascii="黑体" w:hAnsi="黑体" w:eastAsia="黑体"/>
          <w:b/>
          <w:color w:val="000000"/>
          <w:sz w:val="44"/>
          <w:szCs w:val="44"/>
          <w:highlight w:val="white"/>
        </w:rPr>
      </w:pPr>
      <w:bookmarkStart w:id="1" w:name="_GoBack"/>
      <w:bookmarkStart w:id="0" w:name="OLE_LINK1"/>
      <w:r>
        <w:rPr>
          <w:rFonts w:hint="eastAsia" w:ascii="黑体" w:hAnsi="黑体" w:eastAsia="黑体"/>
          <w:b/>
          <w:color w:val="000000"/>
          <w:sz w:val="44"/>
          <w:szCs w:val="44"/>
          <w:highlight w:val="white"/>
        </w:rPr>
        <w:t>2021年度兰溪市中心血库决算目录</w:t>
      </w:r>
      <w:bookmarkEnd w:id="1"/>
      <w:bookmarkEnd w:id="0"/>
    </w:p>
    <w:p>
      <w:pPr>
        <w:spacing w:line="360" w:lineRule="auto"/>
        <w:jc w:val="left"/>
        <w:rPr>
          <w:rFonts w:ascii="等线" w:hAnsi="等线"/>
          <w:sz w:val="28"/>
          <w:szCs w:val="28"/>
        </w:rPr>
      </w:pPr>
      <w:r>
        <w:rPr>
          <w:rFonts w:ascii="等线" w:hAnsi="等线"/>
          <w:color w:val="000000"/>
          <w:sz w:val="28"/>
          <w:szCs w:val="28"/>
          <w:highlight w:val="white"/>
        </w:rPr>
        <w:t>一、概况..................................................</w:t>
      </w:r>
      <w:r>
        <w:rPr>
          <w:rFonts w:ascii="等线" w:hAnsi="等线"/>
          <w:sz w:val="28"/>
          <w:szCs w:val="28"/>
        </w:rPr>
        <w:t xml:space="preserve">( </w:t>
      </w:r>
      <w:r>
        <w:rPr>
          <w:rFonts w:hint="eastAsia" w:ascii="等线" w:hAnsi="等线"/>
          <w:sz w:val="28"/>
          <w:szCs w:val="28"/>
        </w:rPr>
        <w:t>2</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（一）单位职责.................................</w:t>
      </w:r>
      <w:r>
        <w:rPr>
          <w:rFonts w:ascii="等线" w:hAnsi="等线"/>
          <w:sz w:val="28"/>
          <w:szCs w:val="28"/>
        </w:rPr>
        <w:t xml:space="preserve">( </w:t>
      </w:r>
      <w:r>
        <w:rPr>
          <w:rFonts w:hint="eastAsia" w:ascii="等线" w:hAnsi="等线"/>
          <w:sz w:val="28"/>
          <w:szCs w:val="28"/>
        </w:rPr>
        <w:t>2</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（二）机构设置.........................................</w:t>
      </w:r>
      <w:r>
        <w:rPr>
          <w:rFonts w:ascii="等线" w:hAnsi="等线"/>
          <w:sz w:val="28"/>
          <w:szCs w:val="28"/>
        </w:rPr>
        <w:t xml:space="preserve">( </w:t>
      </w:r>
      <w:r>
        <w:rPr>
          <w:rFonts w:hint="eastAsia" w:ascii="等线" w:hAnsi="等线"/>
          <w:sz w:val="28"/>
          <w:szCs w:val="28"/>
        </w:rPr>
        <w:t>2</w:t>
      </w:r>
      <w:r>
        <w:rPr>
          <w:rFonts w:ascii="等线" w:hAnsi="等线"/>
          <w:sz w:val="28"/>
          <w:szCs w:val="28"/>
        </w:rPr>
        <w:t xml:space="preserve"> )</w:t>
      </w:r>
    </w:p>
    <w:p>
      <w:pPr>
        <w:spacing w:line="360" w:lineRule="auto"/>
        <w:jc w:val="left"/>
        <w:rPr>
          <w:rFonts w:ascii="等线" w:hAnsi="等线"/>
          <w:sz w:val="28"/>
          <w:szCs w:val="28"/>
        </w:rPr>
      </w:pPr>
      <w:r>
        <w:rPr>
          <w:rFonts w:ascii="等线" w:hAnsi="等线"/>
          <w:sz w:val="28"/>
          <w:szCs w:val="28"/>
        </w:rPr>
        <w:t>二、</w:t>
      </w:r>
      <w:r>
        <w:rPr>
          <w:rFonts w:ascii="等线" w:hAnsi="等线"/>
          <w:color w:val="000000"/>
          <w:sz w:val="28"/>
          <w:szCs w:val="28"/>
          <w:highlight w:val="white"/>
        </w:rPr>
        <w:t>2021年度单位决算公开表..........................</w:t>
      </w:r>
      <w:r>
        <w:rPr>
          <w:rFonts w:ascii="等线" w:hAnsi="等线"/>
          <w:sz w:val="28"/>
          <w:szCs w:val="28"/>
        </w:rPr>
        <w:t xml:space="preserve">( </w:t>
      </w:r>
      <w:r>
        <w:rPr>
          <w:rFonts w:hint="eastAsia" w:ascii="等线" w:hAnsi="等线"/>
          <w:sz w:val="28"/>
          <w:szCs w:val="28"/>
        </w:rPr>
        <w:t>2</w:t>
      </w:r>
      <w:r>
        <w:rPr>
          <w:rFonts w:ascii="等线" w:hAnsi="等线"/>
          <w:sz w:val="28"/>
          <w:szCs w:val="28"/>
        </w:rPr>
        <w:t xml:space="preserve"> )</w:t>
      </w:r>
    </w:p>
    <w:p>
      <w:pPr>
        <w:spacing w:line="360" w:lineRule="auto"/>
        <w:jc w:val="left"/>
        <w:rPr>
          <w:rFonts w:ascii="等线" w:hAnsi="等线"/>
          <w:sz w:val="28"/>
          <w:szCs w:val="28"/>
        </w:rPr>
      </w:pPr>
      <w:r>
        <w:rPr>
          <w:rFonts w:ascii="等线" w:hAnsi="等线"/>
          <w:sz w:val="28"/>
          <w:szCs w:val="28"/>
          <w:highlight w:val="white"/>
        </w:rPr>
        <w:t>三、</w:t>
      </w:r>
      <w:r>
        <w:rPr>
          <w:rFonts w:ascii="等线" w:hAnsi="等线"/>
          <w:color w:val="000000"/>
          <w:sz w:val="28"/>
          <w:szCs w:val="28"/>
          <w:highlight w:val="white"/>
        </w:rPr>
        <w:t>2021年度单位决算情况说明........................</w:t>
      </w:r>
      <w:r>
        <w:rPr>
          <w:rFonts w:ascii="等线" w:hAnsi="等线"/>
          <w:sz w:val="28"/>
          <w:szCs w:val="28"/>
        </w:rPr>
        <w:t xml:space="preserve">( </w:t>
      </w:r>
      <w:r>
        <w:rPr>
          <w:rFonts w:hint="eastAsia" w:ascii="等线" w:hAnsi="等线"/>
          <w:sz w:val="28"/>
          <w:szCs w:val="28"/>
        </w:rPr>
        <w:t>2</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（一）收入支出决算总体情况说明.........................</w:t>
      </w:r>
      <w:r>
        <w:rPr>
          <w:rFonts w:ascii="等线" w:hAnsi="等线"/>
          <w:sz w:val="28"/>
          <w:szCs w:val="28"/>
        </w:rPr>
        <w:t xml:space="preserve">( </w:t>
      </w:r>
      <w:r>
        <w:rPr>
          <w:rFonts w:hint="eastAsia" w:ascii="等线" w:hAnsi="等线"/>
          <w:sz w:val="28"/>
          <w:szCs w:val="28"/>
        </w:rPr>
        <w:t>2</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（二）收入决算情况说明.................................</w:t>
      </w:r>
      <w:r>
        <w:rPr>
          <w:rFonts w:ascii="等线" w:hAnsi="等线"/>
          <w:sz w:val="28"/>
          <w:szCs w:val="28"/>
        </w:rPr>
        <w:t xml:space="preserve">( </w:t>
      </w:r>
      <w:r>
        <w:rPr>
          <w:rFonts w:hint="eastAsia" w:ascii="等线" w:hAnsi="等线"/>
          <w:sz w:val="28"/>
          <w:szCs w:val="28"/>
        </w:rPr>
        <w:t>2</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（三）支出决算情况说明.................................</w:t>
      </w:r>
      <w:r>
        <w:rPr>
          <w:rFonts w:ascii="等线" w:hAnsi="等线"/>
          <w:sz w:val="28"/>
          <w:szCs w:val="28"/>
        </w:rPr>
        <w:t xml:space="preserve">( </w:t>
      </w:r>
      <w:r>
        <w:rPr>
          <w:rFonts w:hint="eastAsia" w:ascii="等线" w:hAnsi="等线"/>
          <w:sz w:val="28"/>
          <w:szCs w:val="28"/>
        </w:rPr>
        <w:t>3</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（四）财政拨款收入支出决算总体情况说明.................</w:t>
      </w:r>
      <w:r>
        <w:rPr>
          <w:rFonts w:ascii="等线" w:hAnsi="等线"/>
          <w:sz w:val="28"/>
          <w:szCs w:val="28"/>
        </w:rPr>
        <w:t xml:space="preserve">( </w:t>
      </w:r>
      <w:r>
        <w:rPr>
          <w:rFonts w:hint="eastAsia" w:ascii="等线" w:hAnsi="等线"/>
          <w:sz w:val="28"/>
          <w:szCs w:val="28"/>
        </w:rPr>
        <w:t>3</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（五）一般公共预算财政拨款支出决算情况说明.............</w:t>
      </w:r>
      <w:r>
        <w:rPr>
          <w:rFonts w:ascii="等线" w:hAnsi="等线"/>
          <w:sz w:val="28"/>
          <w:szCs w:val="28"/>
        </w:rPr>
        <w:t xml:space="preserve">( </w:t>
      </w:r>
      <w:r>
        <w:rPr>
          <w:rFonts w:hint="eastAsia" w:ascii="等线" w:hAnsi="等线"/>
          <w:sz w:val="28"/>
          <w:szCs w:val="28"/>
        </w:rPr>
        <w:t>3</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（六）一般公共预算财政拨款基本支出决算情况说明.........</w:t>
      </w:r>
      <w:r>
        <w:rPr>
          <w:rFonts w:ascii="等线" w:hAnsi="等线"/>
          <w:sz w:val="28"/>
          <w:szCs w:val="28"/>
        </w:rPr>
        <w:t xml:space="preserve">( </w:t>
      </w:r>
      <w:r>
        <w:rPr>
          <w:rFonts w:hint="eastAsia" w:ascii="等线" w:hAnsi="等线"/>
          <w:sz w:val="28"/>
          <w:szCs w:val="28"/>
        </w:rPr>
        <w:t>4</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（七）政府性基金预算财政拨款支出决算总体情况说明.......</w:t>
      </w:r>
      <w:r>
        <w:rPr>
          <w:rFonts w:ascii="等线" w:hAnsi="等线"/>
          <w:sz w:val="28"/>
          <w:szCs w:val="28"/>
        </w:rPr>
        <w:t>(</w:t>
      </w:r>
      <w:r>
        <w:rPr>
          <w:rFonts w:hint="eastAsia" w:ascii="等线" w:hAnsi="等线"/>
          <w:sz w:val="28"/>
          <w:szCs w:val="28"/>
        </w:rPr>
        <w:t xml:space="preserve"> 5 </w:t>
      </w:r>
      <w:r>
        <w:rPr>
          <w:rFonts w:ascii="等线" w:hAnsi="等线"/>
          <w:sz w:val="28"/>
          <w:szCs w:val="28"/>
        </w:rPr>
        <w:t>)</w:t>
      </w:r>
    </w:p>
    <w:p>
      <w:pPr>
        <w:spacing w:line="360" w:lineRule="auto"/>
        <w:ind w:left="420"/>
        <w:jc w:val="left"/>
        <w:rPr>
          <w:rFonts w:ascii="等线" w:hAnsi="等线"/>
          <w:color w:val="000000"/>
          <w:sz w:val="28"/>
          <w:szCs w:val="28"/>
          <w:highlight w:val="white"/>
        </w:rPr>
      </w:pPr>
      <w:r>
        <w:rPr>
          <w:rFonts w:ascii="等线" w:hAnsi="等线"/>
          <w:color w:val="000000"/>
          <w:sz w:val="28"/>
          <w:szCs w:val="28"/>
          <w:highlight w:val="white"/>
        </w:rPr>
        <w:t>（八）国有资本经营预算财政拨款支出决算总体情况说明.....</w:t>
      </w:r>
      <w:r>
        <w:rPr>
          <w:rFonts w:ascii="等线" w:hAnsi="等线"/>
          <w:sz w:val="28"/>
          <w:szCs w:val="28"/>
        </w:rPr>
        <w:t xml:space="preserve">( </w:t>
      </w:r>
      <w:r>
        <w:rPr>
          <w:rFonts w:hint="eastAsia" w:ascii="等线" w:hAnsi="等线"/>
          <w:sz w:val="28"/>
          <w:szCs w:val="28"/>
        </w:rPr>
        <w:t>5</w:t>
      </w:r>
      <w:r>
        <w:rPr>
          <w:rFonts w:ascii="等线" w:hAnsi="等线"/>
          <w:sz w:val="28"/>
          <w:szCs w:val="28"/>
        </w:rPr>
        <w:t xml:space="preserve"> )</w:t>
      </w:r>
    </w:p>
    <w:p>
      <w:pPr>
        <w:spacing w:line="360" w:lineRule="auto"/>
        <w:ind w:left="420"/>
        <w:jc w:val="left"/>
        <w:rPr>
          <w:rFonts w:ascii="等线" w:hAnsi="等线"/>
          <w:color w:val="000000"/>
          <w:sz w:val="28"/>
          <w:szCs w:val="28"/>
          <w:highlight w:val="white"/>
        </w:rPr>
      </w:pPr>
      <w:r>
        <w:rPr>
          <w:rFonts w:ascii="等线" w:hAnsi="等线"/>
          <w:color w:val="000000"/>
          <w:sz w:val="28"/>
          <w:szCs w:val="28"/>
          <w:highlight w:val="white"/>
        </w:rPr>
        <w:t>（九）一般公共预算财政拨款“三公”经费支出决算情况说明.</w:t>
      </w:r>
      <w:r>
        <w:rPr>
          <w:rFonts w:ascii="等线" w:hAnsi="等线"/>
          <w:sz w:val="28"/>
          <w:szCs w:val="28"/>
        </w:rPr>
        <w:t xml:space="preserve">( </w:t>
      </w:r>
      <w:r>
        <w:rPr>
          <w:rFonts w:hint="eastAsia" w:ascii="等线" w:hAnsi="等线"/>
          <w:sz w:val="28"/>
          <w:szCs w:val="28"/>
        </w:rPr>
        <w:t>5</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（十）机关运行经费支出说明.............................</w:t>
      </w:r>
      <w:r>
        <w:rPr>
          <w:rFonts w:ascii="等线" w:hAnsi="等线"/>
          <w:sz w:val="28"/>
          <w:szCs w:val="28"/>
        </w:rPr>
        <w:t xml:space="preserve">( </w:t>
      </w:r>
      <w:r>
        <w:rPr>
          <w:rFonts w:hint="eastAsia" w:ascii="等线" w:hAnsi="等线"/>
          <w:sz w:val="28"/>
          <w:szCs w:val="28"/>
        </w:rPr>
        <w:t>7</w:t>
      </w:r>
      <w:r>
        <w:rPr>
          <w:rFonts w:ascii="等线" w:hAnsi="等线"/>
          <w:sz w:val="28"/>
          <w:szCs w:val="28"/>
        </w:rPr>
        <w:t xml:space="preserve"> )</w:t>
      </w:r>
    </w:p>
    <w:p>
      <w:pPr>
        <w:spacing w:line="360" w:lineRule="auto"/>
        <w:ind w:left="420"/>
        <w:jc w:val="left"/>
        <w:rPr>
          <w:rFonts w:ascii="等线" w:hAnsi="等线"/>
          <w:color w:val="000000"/>
          <w:sz w:val="28"/>
          <w:szCs w:val="28"/>
          <w:highlight w:val="white"/>
        </w:rPr>
      </w:pPr>
      <w:r>
        <w:rPr>
          <w:rFonts w:ascii="等线" w:hAnsi="等线"/>
          <w:color w:val="000000"/>
          <w:sz w:val="28"/>
          <w:szCs w:val="28"/>
          <w:highlight w:val="white"/>
        </w:rPr>
        <w:t>（十一）政府采购支出说明...............................</w:t>
      </w:r>
      <w:r>
        <w:rPr>
          <w:rFonts w:ascii="等线" w:hAnsi="等线"/>
          <w:sz w:val="28"/>
          <w:szCs w:val="28"/>
        </w:rPr>
        <w:t xml:space="preserve">( </w:t>
      </w:r>
      <w:r>
        <w:rPr>
          <w:rFonts w:hint="eastAsia" w:ascii="等线" w:hAnsi="等线"/>
          <w:sz w:val="28"/>
          <w:szCs w:val="28"/>
        </w:rPr>
        <w:t>7</w:t>
      </w:r>
      <w:r>
        <w:rPr>
          <w:rFonts w:ascii="等线" w:hAnsi="等线"/>
          <w:sz w:val="28"/>
          <w:szCs w:val="28"/>
        </w:rPr>
        <w:t xml:space="preserve"> )</w:t>
      </w:r>
    </w:p>
    <w:p>
      <w:pPr>
        <w:spacing w:line="360" w:lineRule="auto"/>
        <w:ind w:left="420"/>
        <w:jc w:val="left"/>
        <w:rPr>
          <w:rFonts w:ascii="等线" w:hAnsi="等线"/>
          <w:color w:val="000000"/>
          <w:sz w:val="28"/>
          <w:szCs w:val="28"/>
          <w:highlight w:val="white"/>
        </w:rPr>
      </w:pPr>
      <w:r>
        <w:rPr>
          <w:rFonts w:ascii="等线" w:hAnsi="等线"/>
          <w:color w:val="000000"/>
          <w:sz w:val="28"/>
          <w:szCs w:val="28"/>
          <w:highlight w:val="white"/>
        </w:rPr>
        <w:t>（十二）国有资产占有情况说明...........................</w:t>
      </w:r>
      <w:r>
        <w:rPr>
          <w:rFonts w:ascii="等线" w:hAnsi="等线"/>
          <w:sz w:val="28"/>
          <w:szCs w:val="28"/>
        </w:rPr>
        <w:t xml:space="preserve">( </w:t>
      </w:r>
      <w:r>
        <w:rPr>
          <w:rFonts w:hint="eastAsia" w:ascii="等线" w:hAnsi="等线"/>
          <w:sz w:val="28"/>
          <w:szCs w:val="28"/>
        </w:rPr>
        <w:t>7</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（十三）预算绩效情况说明...............................</w:t>
      </w:r>
      <w:r>
        <w:rPr>
          <w:rFonts w:ascii="等线" w:hAnsi="等线"/>
          <w:sz w:val="28"/>
          <w:szCs w:val="28"/>
        </w:rPr>
        <w:t xml:space="preserve">( </w:t>
      </w:r>
      <w:r>
        <w:rPr>
          <w:rFonts w:hint="eastAsia" w:ascii="等线" w:hAnsi="等线"/>
          <w:sz w:val="28"/>
          <w:szCs w:val="28"/>
        </w:rPr>
        <w:t>7</w:t>
      </w:r>
      <w:r>
        <w:rPr>
          <w:rFonts w:ascii="等线" w:hAnsi="等线"/>
          <w:sz w:val="28"/>
          <w:szCs w:val="28"/>
        </w:rPr>
        <w:t xml:space="preserve"> )</w:t>
      </w:r>
    </w:p>
    <w:p>
      <w:pPr>
        <w:spacing w:line="360" w:lineRule="auto"/>
        <w:jc w:val="left"/>
        <w:rPr>
          <w:rFonts w:ascii="等线" w:hAnsi="等线"/>
          <w:sz w:val="28"/>
          <w:szCs w:val="28"/>
        </w:rPr>
      </w:pPr>
      <w:r>
        <w:rPr>
          <w:rFonts w:ascii="等线" w:hAnsi="等线"/>
          <w:color w:val="000000"/>
          <w:sz w:val="28"/>
          <w:szCs w:val="28"/>
          <w:highlight w:val="white"/>
        </w:rPr>
        <w:t>四、名词解释..............................................</w:t>
      </w:r>
      <w:r>
        <w:rPr>
          <w:rFonts w:ascii="等线" w:hAnsi="等线"/>
          <w:sz w:val="28"/>
          <w:szCs w:val="28"/>
        </w:rPr>
        <w:t>(</w:t>
      </w:r>
      <w:r>
        <w:rPr>
          <w:rFonts w:hint="eastAsia" w:ascii="等线" w:hAnsi="等线"/>
          <w:sz w:val="28"/>
          <w:szCs w:val="28"/>
        </w:rPr>
        <w:t>11</w:t>
      </w:r>
      <w:r>
        <w:rPr>
          <w:rFonts w:ascii="等线" w:hAnsi="等线"/>
          <w:sz w:val="28"/>
          <w:szCs w:val="28"/>
        </w:rPr>
        <w:t>)</w:t>
      </w:r>
    </w:p>
    <w:p>
      <w:pPr>
        <w:spacing w:beforeAutospacing="1" w:afterAutospacing="1" w:line="360" w:lineRule="auto"/>
        <w:jc w:val="left"/>
        <w:rPr>
          <w:rFonts w:ascii="黑体" w:hAnsi="黑体" w:eastAsia="黑体" w:cs="宋体"/>
          <w:b/>
          <w:color w:val="000000"/>
          <w:sz w:val="28"/>
          <w:szCs w:val="28"/>
          <w:highlight w:val="white"/>
        </w:rPr>
        <w:sectPr>
          <w:pgSz w:w="12240" w:h="15840"/>
          <w:pgMar w:top="1440" w:right="1800" w:bottom="1440" w:left="1800" w:header="720" w:footer="720" w:gutter="0"/>
          <w:cols w:space="720" w:num="1"/>
        </w:sectPr>
      </w:pPr>
    </w:p>
    <w:p>
      <w:pPr>
        <w:spacing w:line="324" w:lineRule="auto"/>
        <w:ind w:firstLine="600"/>
        <w:rPr>
          <w:rFonts w:ascii="黑体" w:hAnsi="黑体" w:eastAsia="黑体"/>
          <w:b/>
          <w:color w:val="000000"/>
          <w:sz w:val="28"/>
          <w:szCs w:val="28"/>
          <w:highlight w:val="white"/>
        </w:rPr>
      </w:pPr>
      <w:r>
        <w:rPr>
          <w:rFonts w:hint="eastAsia" w:ascii="黑体" w:hAnsi="黑体" w:eastAsia="黑体"/>
          <w:b/>
          <w:color w:val="000000"/>
          <w:sz w:val="28"/>
          <w:szCs w:val="28"/>
          <w:highlight w:val="white"/>
        </w:rPr>
        <w:t>一、概况</w:t>
      </w:r>
    </w:p>
    <w:p>
      <w:pPr>
        <w:spacing w:line="324" w:lineRule="auto"/>
        <w:ind w:firstLine="594"/>
        <w:rPr>
          <w:rFonts w:ascii="楷体" w:hAnsi="楷体" w:eastAsia="楷体"/>
          <w:b/>
          <w:color w:val="000000"/>
          <w:sz w:val="28"/>
          <w:szCs w:val="28"/>
          <w:highlight w:val="white"/>
        </w:rPr>
      </w:pPr>
      <w:r>
        <w:rPr>
          <w:rFonts w:hint="eastAsia" w:ascii="楷体" w:hAnsi="楷体" w:eastAsia="楷体"/>
          <w:b/>
          <w:color w:val="000000"/>
          <w:sz w:val="28"/>
          <w:szCs w:val="28"/>
          <w:highlight w:val="white"/>
        </w:rPr>
        <w:t>（一）单位职责</w:t>
      </w:r>
    </w:p>
    <w:p>
      <w:pPr>
        <w:spacing w:line="324" w:lineRule="auto"/>
        <w:ind w:firstLine="594"/>
        <w:rPr>
          <w:rFonts w:ascii="仿宋" w:hAnsi="仿宋" w:eastAsia="仿宋"/>
          <w:sz w:val="28"/>
          <w:szCs w:val="28"/>
        </w:rPr>
      </w:pPr>
      <w:r>
        <w:rPr>
          <w:rFonts w:hint="eastAsia" w:ascii="仿宋" w:hAnsi="仿宋" w:eastAsia="仿宋"/>
          <w:sz w:val="28"/>
          <w:szCs w:val="28"/>
        </w:rPr>
        <w:t>兰溪市中心血库，是兰溪市卫健局所属独立设置的全额</w:t>
      </w:r>
      <w:r>
        <w:rPr>
          <w:rFonts w:hint="eastAsia" w:ascii="仿宋" w:hAnsi="仿宋" w:eastAsia="仿宋"/>
          <w:sz w:val="28"/>
          <w:szCs w:val="28"/>
          <w:lang w:eastAsia="zh-CN"/>
        </w:rPr>
        <w:t>拨</w:t>
      </w:r>
      <w:r>
        <w:rPr>
          <w:rFonts w:hint="eastAsia" w:ascii="仿宋" w:hAnsi="仿宋" w:eastAsia="仿宋"/>
          <w:sz w:val="28"/>
          <w:szCs w:val="28"/>
        </w:rPr>
        <w:t>款公益一类事业单位，业务用房约600平方米。在规定范围内开展无偿献血者的招募、血液的采集与制备、临床用血供应及医疗用血的业务指导工作，承担供血区域内的血液储存的质量控制和输血技术服务工作，保障兰溪市临床用血，促进医疗卫生事业的发展。</w:t>
      </w:r>
    </w:p>
    <w:p>
      <w:pPr>
        <w:spacing w:line="324" w:lineRule="auto"/>
        <w:ind w:firstLine="594"/>
        <w:rPr>
          <w:b/>
          <w:color w:val="000000"/>
          <w:sz w:val="28"/>
          <w:szCs w:val="28"/>
          <w:highlight w:val="white"/>
        </w:rPr>
      </w:pPr>
      <w:r>
        <w:rPr>
          <w:rFonts w:hint="eastAsia" w:ascii="楷体" w:hAnsi="楷体" w:eastAsia="楷体"/>
          <w:b/>
          <w:color w:val="000000"/>
          <w:sz w:val="28"/>
          <w:szCs w:val="28"/>
          <w:highlight w:val="white"/>
        </w:rPr>
        <w:t>（二）机构设置</w:t>
      </w:r>
    </w:p>
    <w:p>
      <w:pPr>
        <w:spacing w:line="560" w:lineRule="exact"/>
        <w:ind w:firstLine="548" w:firstLineChars="196"/>
        <w:rPr>
          <w:rFonts w:ascii="仿宋" w:hAnsi="仿宋" w:eastAsia="仿宋"/>
          <w:sz w:val="28"/>
          <w:szCs w:val="28"/>
        </w:rPr>
      </w:pPr>
      <w:r>
        <w:rPr>
          <w:rFonts w:hint="eastAsia" w:ascii="仿宋" w:hAnsi="仿宋" w:eastAsia="仿宋"/>
          <w:sz w:val="28"/>
          <w:szCs w:val="28"/>
          <w:highlight w:val="white"/>
        </w:rPr>
        <w:t>从</w:t>
      </w:r>
      <w:r>
        <w:rPr>
          <w:rFonts w:hint="eastAsia" w:ascii="仿宋" w:hAnsi="仿宋" w:eastAsia="仿宋"/>
          <w:color w:val="000000"/>
          <w:sz w:val="28"/>
          <w:szCs w:val="28"/>
          <w:highlight w:val="white"/>
        </w:rPr>
        <w:t>预算单位构成看，本单位机构数1个，为独立预算单位，单位内设：</w:t>
      </w:r>
      <w:r>
        <w:rPr>
          <w:rFonts w:hint="eastAsia" w:ascii="仿宋" w:hAnsi="仿宋" w:eastAsia="仿宋"/>
          <w:sz w:val="28"/>
          <w:szCs w:val="28"/>
        </w:rPr>
        <w:t>征询大厅、体检室、采血大厅、血库、成分分离室、质量控制室、办公室等工作场所。</w:t>
      </w:r>
    </w:p>
    <w:p>
      <w:pPr>
        <w:spacing w:line="324" w:lineRule="auto"/>
        <w:ind w:firstLine="600"/>
        <w:rPr>
          <w:rFonts w:ascii="黑体" w:hAnsi="黑体" w:eastAsia="黑体"/>
          <w:b/>
          <w:color w:val="000000"/>
          <w:sz w:val="28"/>
          <w:szCs w:val="28"/>
          <w:highlight w:val="white"/>
        </w:rPr>
      </w:pPr>
      <w:r>
        <w:rPr>
          <w:rFonts w:hint="eastAsia" w:ascii="黑体" w:hAnsi="黑体" w:eastAsia="黑体"/>
          <w:b/>
          <w:color w:val="000000"/>
          <w:sz w:val="28"/>
          <w:szCs w:val="28"/>
          <w:highlight w:val="white"/>
        </w:rPr>
        <w:t>二、2021年度单位决算公开表</w:t>
      </w:r>
    </w:p>
    <w:p>
      <w:pPr>
        <w:spacing w:line="324" w:lineRule="auto"/>
        <w:ind w:firstLine="594"/>
        <w:rPr>
          <w:color w:val="000000"/>
          <w:sz w:val="28"/>
          <w:szCs w:val="28"/>
          <w:highlight w:val="white"/>
        </w:rPr>
      </w:pPr>
      <w:r>
        <w:rPr>
          <w:rFonts w:hint="eastAsia" w:ascii="仿宋" w:hAnsi="仿宋" w:eastAsia="仿宋"/>
          <w:color w:val="000000"/>
          <w:sz w:val="28"/>
          <w:szCs w:val="28"/>
          <w:highlight w:val="white"/>
        </w:rPr>
        <w:t>详见附表</w:t>
      </w:r>
      <w:r>
        <w:rPr>
          <w:rFonts w:hint="eastAsia" w:ascii="仿宋_GB2312" w:eastAsia="仿宋_GB2312"/>
          <w:color w:val="000000"/>
          <w:sz w:val="28"/>
          <w:szCs w:val="28"/>
          <w:highlight w:val="white"/>
        </w:rPr>
        <w:t>。</w:t>
      </w:r>
    </w:p>
    <w:p>
      <w:pPr>
        <w:spacing w:line="324" w:lineRule="auto"/>
        <w:ind w:firstLine="594"/>
        <w:rPr>
          <w:b/>
          <w:color w:val="000000"/>
          <w:sz w:val="28"/>
          <w:szCs w:val="28"/>
          <w:highlight w:val="white"/>
        </w:rPr>
      </w:pPr>
      <w:r>
        <w:rPr>
          <w:rFonts w:hint="eastAsia" w:ascii="黑体" w:hAnsi="黑体" w:eastAsia="黑体"/>
          <w:b/>
          <w:sz w:val="28"/>
          <w:szCs w:val="28"/>
          <w:highlight w:val="white"/>
        </w:rPr>
        <w:t>三、</w:t>
      </w:r>
      <w:r>
        <w:rPr>
          <w:rFonts w:hint="eastAsia" w:ascii="黑体" w:hAnsi="黑体" w:eastAsia="黑体"/>
          <w:b/>
          <w:color w:val="000000"/>
          <w:sz w:val="28"/>
          <w:szCs w:val="28"/>
          <w:highlight w:val="white"/>
        </w:rPr>
        <w:t>2021年度单位决算情况说明</w:t>
      </w:r>
    </w:p>
    <w:p>
      <w:pPr>
        <w:spacing w:line="324" w:lineRule="auto"/>
        <w:ind w:firstLine="594"/>
        <w:rPr>
          <w:b/>
          <w:color w:val="000000"/>
          <w:sz w:val="28"/>
          <w:szCs w:val="28"/>
          <w:highlight w:val="white"/>
        </w:rPr>
      </w:pPr>
      <w:r>
        <w:rPr>
          <w:rFonts w:hint="eastAsia" w:ascii="楷体" w:hAnsi="楷体" w:eastAsia="楷体"/>
          <w:b/>
          <w:color w:val="000000"/>
          <w:sz w:val="28"/>
          <w:szCs w:val="28"/>
          <w:highlight w:val="white"/>
        </w:rPr>
        <w:t>（一）收入支出决算总体情况说明</w:t>
      </w:r>
    </w:p>
    <w:p>
      <w:pPr>
        <w:spacing w:line="324" w:lineRule="auto"/>
        <w:ind w:firstLine="594"/>
        <w:rPr>
          <w:b/>
          <w:color w:val="000000"/>
          <w:sz w:val="28"/>
          <w:szCs w:val="28"/>
          <w:highlight w:val="white"/>
        </w:rPr>
      </w:pPr>
      <w:r>
        <w:rPr>
          <w:rFonts w:hint="eastAsia" w:ascii="仿宋" w:hAnsi="仿宋" w:eastAsia="仿宋"/>
          <w:color w:val="000000"/>
          <w:sz w:val="28"/>
          <w:szCs w:val="28"/>
          <w:highlight w:val="white"/>
        </w:rPr>
        <w:t>2021年度收入总计500.15万元，支出总计500.15万元,与2020年度相比，各增加34.35万元，增长7.37%。主要原因是：人员经费和项目支出有所增加。</w:t>
      </w:r>
    </w:p>
    <w:p>
      <w:pPr>
        <w:spacing w:line="324" w:lineRule="auto"/>
        <w:ind w:firstLine="594"/>
        <w:rPr>
          <w:b/>
          <w:color w:val="000000"/>
          <w:sz w:val="28"/>
          <w:szCs w:val="28"/>
          <w:highlight w:val="white"/>
        </w:rPr>
      </w:pPr>
      <w:r>
        <w:rPr>
          <w:rFonts w:hint="eastAsia" w:ascii="楷体" w:hAnsi="楷体" w:eastAsia="楷体"/>
          <w:b/>
          <w:color w:val="000000"/>
          <w:sz w:val="28"/>
          <w:szCs w:val="28"/>
          <w:highlight w:val="white"/>
        </w:rPr>
        <w:t>（二）收入决算情况说明</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本年收入合计500.15万元；包括财政拨款收入314.66万元（其中，一般公共预算314.66万元，政府性基金预算0万元,国有资本经营预算0万元），占收入合计62.91%；上级补助收入0万元，占收入合计0%；事业收入185.47万元，占收入合计37.08%；经营收入0万元，占收入合计0%；附属单位上缴收入0万元，占收入合计0%；其他收入0.02万元，占收入合计0.003%。</w:t>
      </w:r>
    </w:p>
    <w:p>
      <w:pPr>
        <w:spacing w:line="324" w:lineRule="auto"/>
        <w:ind w:firstLine="594"/>
        <w:rPr>
          <w:b/>
          <w:color w:val="000000"/>
          <w:sz w:val="28"/>
          <w:szCs w:val="28"/>
          <w:highlight w:val="white"/>
        </w:rPr>
      </w:pPr>
      <w:r>
        <w:rPr>
          <w:rFonts w:hint="eastAsia" w:ascii="楷体" w:hAnsi="楷体" w:eastAsia="楷体"/>
          <w:b/>
          <w:color w:val="000000"/>
          <w:sz w:val="28"/>
          <w:szCs w:val="28"/>
          <w:highlight w:val="white"/>
        </w:rPr>
        <w:t>（三）支出决算情况说明</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本年支出合计500.15万元，其中基本支出475.38万元，占95.05%；项目支出24.77万元，占4.95%；上缴上级支出</w:t>
      </w:r>
      <w:r>
        <w:rPr>
          <w:rFonts w:hint="eastAsia" w:ascii="仿宋" w:hAnsi="仿宋" w:eastAsia="仿宋"/>
          <w:sz w:val="28"/>
          <w:szCs w:val="28"/>
          <w:highlight w:val="white"/>
        </w:rPr>
        <w:t>0</w:t>
      </w:r>
      <w:r>
        <w:rPr>
          <w:rFonts w:hint="eastAsia" w:ascii="仿宋" w:hAnsi="仿宋" w:eastAsia="仿宋"/>
          <w:color w:val="000000"/>
          <w:sz w:val="28"/>
          <w:szCs w:val="28"/>
          <w:highlight w:val="white"/>
        </w:rPr>
        <w:t>万元，占0%；经营支出0万元，占0%；对附属单位补助支出</w:t>
      </w:r>
      <w:r>
        <w:rPr>
          <w:rFonts w:hint="eastAsia" w:ascii="仿宋" w:hAnsi="仿宋" w:eastAsia="仿宋"/>
          <w:sz w:val="28"/>
          <w:szCs w:val="28"/>
          <w:highlight w:val="white"/>
        </w:rPr>
        <w:t>0</w:t>
      </w:r>
      <w:r>
        <w:rPr>
          <w:rFonts w:hint="eastAsia" w:ascii="仿宋" w:hAnsi="仿宋" w:eastAsia="仿宋"/>
          <w:color w:val="000000"/>
          <w:sz w:val="28"/>
          <w:szCs w:val="28"/>
          <w:highlight w:val="white"/>
        </w:rPr>
        <w:t>万元，占0%。</w:t>
      </w:r>
    </w:p>
    <w:p>
      <w:pPr>
        <w:spacing w:line="324" w:lineRule="auto"/>
        <w:ind w:firstLine="594"/>
        <w:rPr>
          <w:rFonts w:ascii="楷体" w:hAnsi="楷体" w:eastAsia="楷体"/>
          <w:b/>
          <w:color w:val="000000"/>
          <w:sz w:val="28"/>
          <w:szCs w:val="28"/>
          <w:highlight w:val="white"/>
        </w:rPr>
      </w:pPr>
      <w:r>
        <w:rPr>
          <w:rFonts w:hint="eastAsia" w:ascii="楷体" w:hAnsi="楷体" w:eastAsia="楷体"/>
          <w:b/>
          <w:color w:val="000000"/>
          <w:sz w:val="28"/>
          <w:szCs w:val="28"/>
          <w:highlight w:val="white"/>
        </w:rPr>
        <w:t>（四）财政拨款收入支出决算总体情况说明</w:t>
      </w:r>
    </w:p>
    <w:p>
      <w:pPr>
        <w:spacing w:line="324" w:lineRule="auto"/>
        <w:ind w:firstLine="594"/>
        <w:rPr>
          <w:rFonts w:ascii="仿宋" w:hAnsi="仿宋" w:eastAsia="仿宋"/>
          <w:b/>
          <w:color w:val="000000"/>
          <w:sz w:val="28"/>
          <w:szCs w:val="28"/>
          <w:highlight w:val="white"/>
        </w:rPr>
      </w:pPr>
      <w:r>
        <w:rPr>
          <w:rFonts w:hint="eastAsia" w:ascii="仿宋" w:hAnsi="仿宋" w:eastAsia="仿宋"/>
          <w:color w:val="000000"/>
          <w:sz w:val="28"/>
          <w:szCs w:val="28"/>
          <w:highlight w:val="white"/>
        </w:rPr>
        <w:t>2021年度财政拨款收入总计314.66万元，支出总计314.66万元，与2020年相比，各增加56万元，增长21.65%。主要原因是</w:t>
      </w:r>
      <w:r>
        <w:rPr>
          <w:rFonts w:hint="eastAsia" w:ascii="仿宋" w:hAnsi="仿宋" w:eastAsia="仿宋"/>
          <w:sz w:val="28"/>
          <w:szCs w:val="28"/>
          <w:highlight w:val="white"/>
        </w:rPr>
        <w:t>人员经费和其他相关经费有所增加；</w:t>
      </w:r>
      <w:r>
        <w:rPr>
          <w:rFonts w:hint="eastAsia" w:ascii="仿宋" w:hAnsi="仿宋" w:eastAsia="仿宋"/>
          <w:color w:val="000000"/>
          <w:sz w:val="28"/>
          <w:szCs w:val="28"/>
          <w:highlight w:val="white"/>
        </w:rPr>
        <w:t>财政拨款支出年初预算数314.66万元，</w:t>
      </w:r>
      <w:r>
        <w:rPr>
          <w:rFonts w:hint="eastAsia" w:ascii="仿宋" w:hAnsi="仿宋" w:eastAsia="仿宋"/>
          <w:sz w:val="28"/>
          <w:szCs w:val="28"/>
          <w:highlight w:val="white"/>
        </w:rPr>
        <w:t>完成年初预算的100</w:t>
      </w:r>
      <w:r>
        <w:rPr>
          <w:rFonts w:hint="eastAsia" w:ascii="仿宋" w:hAnsi="仿宋" w:eastAsia="仿宋"/>
          <w:color w:val="000000"/>
          <w:sz w:val="28"/>
          <w:szCs w:val="28"/>
          <w:highlight w:val="white"/>
        </w:rPr>
        <w:t>%</w:t>
      </w:r>
      <w:r>
        <w:rPr>
          <w:rFonts w:hint="eastAsia" w:ascii="仿宋" w:hAnsi="仿宋" w:eastAsia="仿宋"/>
          <w:sz w:val="28"/>
          <w:szCs w:val="28"/>
          <w:highlight w:val="white"/>
        </w:rPr>
        <w:t>，</w:t>
      </w:r>
      <w:r>
        <w:rPr>
          <w:rFonts w:hint="eastAsia" w:ascii="仿宋" w:hAnsi="仿宋" w:eastAsia="仿宋"/>
          <w:color w:val="000000"/>
          <w:sz w:val="28"/>
          <w:szCs w:val="28"/>
          <w:highlight w:val="white"/>
        </w:rPr>
        <w:t>主要原因是</w:t>
      </w:r>
      <w:r>
        <w:rPr>
          <w:rFonts w:hint="eastAsia" w:ascii="仿宋" w:hAnsi="仿宋" w:eastAsia="仿宋"/>
          <w:sz w:val="28"/>
          <w:szCs w:val="28"/>
          <w:highlight w:val="white"/>
        </w:rPr>
        <w:t>财政</w:t>
      </w:r>
      <w:r>
        <w:rPr>
          <w:rFonts w:hint="eastAsia" w:ascii="仿宋" w:hAnsi="仿宋" w:eastAsia="仿宋"/>
          <w:sz w:val="28"/>
          <w:szCs w:val="28"/>
          <w:highlight w:val="white"/>
          <w:lang w:eastAsia="zh-CN"/>
        </w:rPr>
        <w:t>拨</w:t>
      </w:r>
      <w:r>
        <w:rPr>
          <w:rFonts w:hint="eastAsia" w:ascii="仿宋" w:hAnsi="仿宋" w:eastAsia="仿宋"/>
          <w:sz w:val="28"/>
          <w:szCs w:val="28"/>
          <w:highlight w:val="white"/>
        </w:rPr>
        <w:t>款已全部完成支付。</w:t>
      </w:r>
    </w:p>
    <w:p>
      <w:pPr>
        <w:spacing w:line="324" w:lineRule="auto"/>
        <w:ind w:firstLine="594"/>
        <w:rPr>
          <w:b/>
          <w:color w:val="000000"/>
          <w:sz w:val="28"/>
          <w:szCs w:val="28"/>
          <w:highlight w:val="white"/>
        </w:rPr>
      </w:pPr>
      <w:r>
        <w:rPr>
          <w:rFonts w:hint="eastAsia" w:ascii="楷体" w:hAnsi="楷体" w:eastAsia="楷体"/>
          <w:b/>
          <w:color w:val="000000"/>
          <w:sz w:val="28"/>
          <w:szCs w:val="28"/>
          <w:highlight w:val="white"/>
        </w:rPr>
        <w:t>（五）一般公共预算财政拨款支出决算情况说明</w:t>
      </w:r>
    </w:p>
    <w:p>
      <w:pPr>
        <w:spacing w:line="324" w:lineRule="auto"/>
        <w:ind w:firstLine="606"/>
        <w:rPr>
          <w:rFonts w:ascii="仿宋" w:hAnsi="仿宋" w:eastAsia="仿宋"/>
          <w:color w:val="000000"/>
          <w:sz w:val="28"/>
          <w:szCs w:val="28"/>
          <w:highlight w:val="white"/>
        </w:rPr>
      </w:pPr>
      <w:r>
        <w:rPr>
          <w:rFonts w:hint="eastAsia" w:ascii="仿宋" w:hAnsi="仿宋" w:eastAsia="仿宋"/>
          <w:b/>
          <w:color w:val="000000"/>
          <w:sz w:val="28"/>
          <w:szCs w:val="28"/>
          <w:highlight w:val="white"/>
        </w:rPr>
        <w:t>1.一般公共预算财政拨款支出决算总体情况。</w:t>
      </w:r>
    </w:p>
    <w:p>
      <w:pPr>
        <w:spacing w:line="324" w:lineRule="auto"/>
        <w:ind w:firstLine="606"/>
        <w:rPr>
          <w:rFonts w:ascii="仿宋" w:hAnsi="仿宋" w:eastAsia="仿宋"/>
          <w:color w:val="000000"/>
          <w:sz w:val="28"/>
          <w:szCs w:val="28"/>
          <w:highlight w:val="white"/>
        </w:rPr>
      </w:pPr>
      <w:r>
        <w:rPr>
          <w:rFonts w:hint="eastAsia" w:ascii="仿宋" w:hAnsi="仿宋" w:eastAsia="仿宋"/>
          <w:color w:val="000000"/>
          <w:sz w:val="28"/>
          <w:szCs w:val="28"/>
          <w:highlight w:val="white"/>
        </w:rPr>
        <w:t>2021年度一般公共预算财政拨款支出314.66万元，占本年支出合计的62.91%。与2020年相比，一般公共预算财政拨款支出增加56万元，增长21.65%。主要原因是：人员经费和其他相关经费有所增加。</w:t>
      </w:r>
    </w:p>
    <w:p>
      <w:pPr>
        <w:spacing w:line="324" w:lineRule="auto"/>
        <w:ind w:firstLine="606"/>
        <w:rPr>
          <w:rFonts w:ascii="仿宋" w:hAnsi="仿宋" w:eastAsia="仿宋"/>
          <w:color w:val="000000"/>
          <w:sz w:val="28"/>
          <w:szCs w:val="28"/>
          <w:highlight w:val="white"/>
        </w:rPr>
      </w:pPr>
      <w:r>
        <w:rPr>
          <w:rFonts w:hint="eastAsia" w:ascii="仿宋" w:hAnsi="仿宋" w:eastAsia="仿宋"/>
          <w:b/>
          <w:color w:val="000000"/>
          <w:sz w:val="28"/>
          <w:szCs w:val="28"/>
          <w:highlight w:val="white"/>
        </w:rPr>
        <w:t>2.一般公共预算财政拨款支出决算结构情况。</w:t>
      </w:r>
    </w:p>
    <w:p>
      <w:pPr>
        <w:spacing w:line="324" w:lineRule="auto"/>
        <w:ind w:firstLine="606"/>
        <w:rPr>
          <w:rFonts w:ascii="仿宋" w:hAnsi="仿宋" w:eastAsia="仿宋"/>
          <w:b/>
          <w:color w:val="000000"/>
          <w:sz w:val="28"/>
          <w:szCs w:val="28"/>
          <w:highlight w:val="white"/>
        </w:rPr>
      </w:pPr>
      <w:r>
        <w:rPr>
          <w:rFonts w:hint="eastAsia" w:ascii="仿宋" w:hAnsi="仿宋" w:eastAsia="仿宋"/>
          <w:color w:val="000000"/>
          <w:sz w:val="28"/>
          <w:szCs w:val="28"/>
          <w:highlight w:val="white"/>
        </w:rPr>
        <w:t>2021年度一般公共预算财政拨款支出314.66万元，主要用于以下方面：一般公共服务（类）支出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，占0%；国防（类）支出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,占0%；公共安全（类）支出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,占0%；教育（类）支出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,占0%；科学技术（类）支出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,占0%；文化旅游体育与传媒（类）支出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,占0%；社会保障和就业（类）支出0万元,占0%；卫生健康（类）支出314.66</w:t>
      </w:r>
      <w:r>
        <w:rPr>
          <w:rFonts w:hint="eastAsia" w:ascii="仿宋" w:hAnsi="仿宋" w:eastAsia="仿宋"/>
          <w:sz w:val="28"/>
          <w:szCs w:val="28"/>
          <w:highlight w:val="white"/>
        </w:rPr>
        <w:t>万元</w:t>
      </w:r>
      <w:r>
        <w:rPr>
          <w:rFonts w:hint="eastAsia" w:ascii="仿宋" w:hAnsi="仿宋" w:eastAsia="仿宋"/>
          <w:color w:val="000000"/>
          <w:sz w:val="28"/>
          <w:szCs w:val="28"/>
          <w:highlight w:val="white"/>
        </w:rPr>
        <w:t>,占100%；节能环保（类）支出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,占0%；城乡社区（类）支出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,占0%；农林水（类）支出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,占0%；交通运输（类）支出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,占0%；资源勘探工业信息等（类）支出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,占0%；商业服务业等（类）支出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,占0%；金融（类）支出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,占0%；援助其他地区（类）支出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,占0%；自然资源海洋气象等（类）支出0万元,占0%；住房保障（类）支出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,占0%；粮油物资储备（类）支出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,占0%；灾害防治及应急管理（类）支出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,占0%；其他（类）支出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,占0%；债务还本（类）支出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,占0%；债务付息（类）支出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w:t>
      </w:r>
    </w:p>
    <w:p>
      <w:pPr>
        <w:spacing w:line="324" w:lineRule="auto"/>
        <w:ind w:firstLine="606"/>
        <w:rPr>
          <w:rFonts w:ascii="仿宋" w:hAnsi="仿宋" w:eastAsia="仿宋"/>
          <w:color w:val="000000"/>
          <w:sz w:val="28"/>
          <w:szCs w:val="28"/>
          <w:highlight w:val="white"/>
        </w:rPr>
      </w:pPr>
      <w:r>
        <w:rPr>
          <w:rFonts w:hint="eastAsia" w:ascii="仿宋" w:hAnsi="仿宋" w:eastAsia="仿宋"/>
          <w:b/>
          <w:color w:val="000000"/>
          <w:sz w:val="28"/>
          <w:szCs w:val="28"/>
          <w:highlight w:val="white"/>
        </w:rPr>
        <w:t>3.一般公共预算财政拨款支出决算具体情况。</w:t>
      </w:r>
    </w:p>
    <w:p>
      <w:pPr>
        <w:spacing w:line="324" w:lineRule="auto"/>
        <w:ind w:firstLine="594"/>
        <w:rPr>
          <w:rFonts w:ascii="仿宋" w:hAnsi="仿宋" w:eastAsia="仿宋"/>
          <w:color w:val="000000"/>
          <w:sz w:val="28"/>
          <w:szCs w:val="28"/>
          <w:highlight w:val="white"/>
        </w:rPr>
      </w:pPr>
      <w:r>
        <w:rPr>
          <w:rFonts w:hint="eastAsia" w:ascii="仿宋" w:hAnsi="仿宋" w:eastAsia="仿宋"/>
          <w:sz w:val="28"/>
          <w:szCs w:val="28"/>
          <w:highlight w:val="white"/>
        </w:rPr>
        <w:t>2021年度</w:t>
      </w:r>
      <w:r>
        <w:rPr>
          <w:rFonts w:hint="eastAsia" w:ascii="仿宋" w:hAnsi="仿宋" w:eastAsia="仿宋"/>
          <w:color w:val="000000"/>
          <w:sz w:val="28"/>
          <w:szCs w:val="28"/>
          <w:highlight w:val="white"/>
        </w:rPr>
        <w:t>一般公共预算</w:t>
      </w:r>
      <w:r>
        <w:rPr>
          <w:rFonts w:hint="eastAsia" w:ascii="仿宋" w:hAnsi="仿宋" w:eastAsia="仿宋"/>
          <w:sz w:val="28"/>
          <w:szCs w:val="28"/>
          <w:highlight w:val="white"/>
        </w:rPr>
        <w:t>财政拨款支出年初预算为314.66万元，支出决算为314.66</w:t>
      </w:r>
      <w:r>
        <w:rPr>
          <w:rFonts w:hint="eastAsia" w:ascii="仿宋" w:hAnsi="仿宋" w:eastAsia="仿宋"/>
          <w:color w:val="000000"/>
          <w:sz w:val="28"/>
          <w:szCs w:val="28"/>
          <w:highlight w:val="white"/>
        </w:rPr>
        <w:t>万元</w:t>
      </w:r>
      <w:r>
        <w:rPr>
          <w:rFonts w:hint="eastAsia" w:ascii="仿宋" w:hAnsi="仿宋" w:eastAsia="仿宋"/>
          <w:sz w:val="28"/>
          <w:szCs w:val="28"/>
          <w:highlight w:val="white"/>
        </w:rPr>
        <w:t>,完成年初预算的100</w:t>
      </w:r>
      <w:r>
        <w:rPr>
          <w:rFonts w:hint="eastAsia" w:ascii="仿宋" w:hAnsi="仿宋" w:eastAsia="仿宋"/>
          <w:color w:val="000000"/>
          <w:sz w:val="28"/>
          <w:szCs w:val="28"/>
          <w:highlight w:val="white"/>
        </w:rPr>
        <w:t>%</w:t>
      </w:r>
      <w:r>
        <w:rPr>
          <w:rFonts w:hint="eastAsia" w:ascii="仿宋" w:hAnsi="仿宋" w:eastAsia="仿宋"/>
          <w:sz w:val="28"/>
          <w:szCs w:val="28"/>
          <w:highlight w:val="white"/>
        </w:rPr>
        <w:t>，主要原因是财政</w:t>
      </w:r>
      <w:r>
        <w:rPr>
          <w:rFonts w:hint="eastAsia" w:ascii="仿宋" w:hAnsi="仿宋" w:eastAsia="仿宋"/>
          <w:sz w:val="28"/>
          <w:szCs w:val="28"/>
          <w:highlight w:val="white"/>
          <w:lang w:eastAsia="zh-CN"/>
        </w:rPr>
        <w:t>拨</w:t>
      </w:r>
      <w:r>
        <w:rPr>
          <w:rFonts w:hint="eastAsia" w:ascii="仿宋" w:hAnsi="仿宋" w:eastAsia="仿宋"/>
          <w:sz w:val="28"/>
          <w:szCs w:val="28"/>
          <w:highlight w:val="white"/>
        </w:rPr>
        <w:t>款已全部完成支付。</w:t>
      </w:r>
      <w:r>
        <w:rPr>
          <w:rFonts w:hint="eastAsia" w:ascii="仿宋" w:hAnsi="仿宋" w:eastAsia="仿宋"/>
          <w:color w:val="000000"/>
          <w:sz w:val="28"/>
          <w:szCs w:val="28"/>
          <w:highlight w:val="white"/>
        </w:rPr>
        <w:t>其中：</w:t>
      </w:r>
    </w:p>
    <w:p>
      <w:pPr>
        <w:spacing w:line="324" w:lineRule="auto"/>
        <w:ind w:firstLine="594"/>
        <w:rPr>
          <w:rFonts w:ascii="仿宋" w:hAnsi="仿宋" w:eastAsia="仿宋"/>
          <w:color w:val="000000"/>
          <w:sz w:val="28"/>
          <w:szCs w:val="28"/>
          <w:highlight w:val="white"/>
        </w:rPr>
      </w:pPr>
      <w:r>
        <w:rPr>
          <w:rFonts w:ascii="仿宋" w:hAnsi="仿宋" w:eastAsia="仿宋"/>
          <w:sz w:val="28"/>
          <w:szCs w:val="28"/>
          <w:highlight w:val="white"/>
        </w:rPr>
        <w:t>2100406</w:t>
      </w:r>
      <w:r>
        <w:rPr>
          <w:rFonts w:hint="eastAsia" w:ascii="仿宋" w:hAnsi="仿宋" w:eastAsia="仿宋"/>
          <w:color w:val="000000"/>
          <w:sz w:val="28"/>
          <w:szCs w:val="28"/>
          <w:highlight w:val="white"/>
        </w:rPr>
        <w:t>卫生健康支出（类）公共卫生（款）采供血机构（项）。年初预算为314.66万元，支出决算为314.66万元，完成年初预算的100%</w:t>
      </w:r>
    </w:p>
    <w:p>
      <w:pPr>
        <w:spacing w:line="324" w:lineRule="auto"/>
        <w:ind w:firstLine="594"/>
        <w:rPr>
          <w:color w:val="000000"/>
          <w:sz w:val="28"/>
          <w:szCs w:val="28"/>
          <w:highlight w:val="white"/>
        </w:rPr>
      </w:pPr>
      <w:r>
        <w:rPr>
          <w:rFonts w:hint="eastAsia" w:ascii="楷体" w:hAnsi="楷体" w:eastAsia="楷体"/>
          <w:b/>
          <w:color w:val="000000"/>
          <w:sz w:val="28"/>
          <w:szCs w:val="28"/>
          <w:highlight w:val="white"/>
        </w:rPr>
        <w:t>（六）一般公共预算财政拨款基本支出决算情况说明</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2021年度一般公共预算财政拨款基本支出314.66万元，其中：</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人员经费274.15万元，主要包括：基本工资、津贴补贴、奖金、伙食补助费、绩效工资、机关事业单位基本养老保险缴费、职业年金缴费、职工基本医疗保险缴费、其他社会保障缴费、住房公积金、其他工资福利支出。</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公用经费40.51万元，主要包括：办公费、印刷费、水费、电费、邮电费、物业管理费、差旅费、维修（护）费、培训费、公务接待费、专用材料费、劳务费、工会经费、其他交通费用、其他商品和服务支出。</w:t>
      </w:r>
    </w:p>
    <w:p>
      <w:pPr>
        <w:spacing w:line="324" w:lineRule="auto"/>
        <w:ind w:firstLine="594"/>
        <w:rPr>
          <w:rFonts w:ascii="楷体" w:hAnsi="楷体" w:eastAsia="楷体"/>
          <w:b/>
          <w:color w:val="000000"/>
          <w:sz w:val="28"/>
          <w:szCs w:val="28"/>
          <w:highlight w:val="white"/>
        </w:rPr>
      </w:pPr>
      <w:r>
        <w:rPr>
          <w:rFonts w:hint="eastAsia" w:ascii="楷体" w:hAnsi="楷体" w:eastAsia="楷体"/>
          <w:b/>
          <w:color w:val="000000"/>
          <w:sz w:val="28"/>
          <w:szCs w:val="28"/>
          <w:highlight w:val="white"/>
        </w:rPr>
        <w:t>（七）政府性基金预算财政拨款支出决算总体情况说明</w:t>
      </w:r>
    </w:p>
    <w:p>
      <w:pPr>
        <w:spacing w:line="324" w:lineRule="auto"/>
        <w:ind w:firstLine="594"/>
        <w:rPr>
          <w:rFonts w:ascii="仿宋" w:hAnsi="仿宋" w:eastAsia="仿宋"/>
          <w:sz w:val="28"/>
          <w:szCs w:val="28"/>
          <w:highlight w:val="white"/>
        </w:rPr>
      </w:pPr>
      <w:r>
        <w:rPr>
          <w:rFonts w:hint="eastAsia" w:ascii="仿宋" w:hAnsi="仿宋" w:eastAsia="仿宋"/>
          <w:sz w:val="28"/>
          <w:szCs w:val="28"/>
          <w:highlight w:val="white"/>
        </w:rPr>
        <w:t>本单位2020年和2021年度无政府性基金预算财政拨款收支安排，故无相关数据。</w:t>
      </w:r>
    </w:p>
    <w:p>
      <w:pPr>
        <w:spacing w:line="324" w:lineRule="auto"/>
        <w:ind w:firstLine="594"/>
        <w:rPr>
          <w:rFonts w:ascii="楷体" w:hAnsi="楷体" w:eastAsia="楷体"/>
          <w:b/>
          <w:color w:val="000000"/>
          <w:sz w:val="28"/>
          <w:szCs w:val="28"/>
          <w:highlight w:val="white"/>
        </w:rPr>
      </w:pPr>
      <w:r>
        <w:rPr>
          <w:rFonts w:hint="eastAsia" w:ascii="楷体" w:hAnsi="楷体" w:eastAsia="楷体"/>
          <w:b/>
          <w:color w:val="000000"/>
          <w:sz w:val="28"/>
          <w:szCs w:val="28"/>
          <w:highlight w:val="white"/>
        </w:rPr>
        <w:t>（八）国有资本经营预算财政拨款支出决算总体情况说明</w:t>
      </w:r>
    </w:p>
    <w:p>
      <w:pPr>
        <w:spacing w:line="324" w:lineRule="auto"/>
        <w:ind w:firstLine="594"/>
        <w:rPr>
          <w:rFonts w:ascii="仿宋" w:hAnsi="仿宋" w:eastAsia="仿宋"/>
          <w:sz w:val="28"/>
          <w:szCs w:val="28"/>
          <w:highlight w:val="white"/>
        </w:rPr>
      </w:pPr>
      <w:r>
        <w:rPr>
          <w:rFonts w:hint="eastAsia" w:ascii="仿宋" w:hAnsi="仿宋" w:eastAsia="仿宋"/>
          <w:sz w:val="28"/>
          <w:szCs w:val="28"/>
          <w:highlight w:val="white"/>
        </w:rPr>
        <w:t xml:space="preserve">本单位2021年度无国有资本经营预算财政拨款收支安排，故无相关数据。 </w:t>
      </w:r>
    </w:p>
    <w:p>
      <w:pPr>
        <w:spacing w:line="324" w:lineRule="auto"/>
        <w:ind w:firstLine="594"/>
        <w:rPr>
          <w:rFonts w:ascii="仿宋" w:hAnsi="仿宋" w:eastAsia="仿宋"/>
          <w:b/>
          <w:sz w:val="28"/>
          <w:szCs w:val="28"/>
          <w:highlight w:val="white"/>
          <w:u w:val="single"/>
        </w:rPr>
      </w:pPr>
      <w:r>
        <w:rPr>
          <w:rFonts w:hint="eastAsia" w:ascii="楷体" w:hAnsi="楷体" w:eastAsia="楷体"/>
          <w:b/>
          <w:color w:val="000000"/>
          <w:sz w:val="28"/>
          <w:szCs w:val="28"/>
          <w:highlight w:val="white"/>
        </w:rPr>
        <w:t>（九）一般公共预算财政拨款“三公”经费支出决算情况说明</w:t>
      </w:r>
    </w:p>
    <w:p>
      <w:pPr>
        <w:spacing w:line="324" w:lineRule="auto"/>
        <w:ind w:firstLine="594"/>
        <w:rPr>
          <w:rFonts w:ascii="仿宋" w:hAnsi="仿宋" w:eastAsia="仿宋"/>
          <w:b/>
          <w:color w:val="000000"/>
          <w:sz w:val="28"/>
          <w:szCs w:val="28"/>
          <w:highlight w:val="white"/>
        </w:rPr>
      </w:pPr>
      <w:r>
        <w:rPr>
          <w:rFonts w:hint="eastAsia" w:ascii="仿宋" w:hAnsi="仿宋" w:eastAsia="仿宋"/>
          <w:b/>
          <w:color w:val="000000"/>
          <w:sz w:val="28"/>
          <w:szCs w:val="28"/>
          <w:highlight w:val="white"/>
        </w:rPr>
        <w:t xml:space="preserve">1.“三公”经费一般公共预算财政拨款支出决算总体情况说明。 </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2021年度“三公”经费一般公共预算财政拨款支出预算为0.8万元，支出决算为0.34万元，完成预算的42.50%,2021年度“三公”经费支出决算数小于预算数的主要原因是公务接待有所接少。</w:t>
      </w:r>
    </w:p>
    <w:p>
      <w:pPr>
        <w:spacing w:line="324" w:lineRule="auto"/>
        <w:ind w:firstLine="594"/>
        <w:rPr>
          <w:rFonts w:ascii="仿宋" w:hAnsi="仿宋" w:eastAsia="仿宋"/>
          <w:b/>
          <w:color w:val="000000"/>
          <w:sz w:val="28"/>
          <w:szCs w:val="28"/>
          <w:highlight w:val="white"/>
        </w:rPr>
      </w:pPr>
      <w:r>
        <w:rPr>
          <w:rFonts w:hint="eastAsia" w:ascii="仿宋" w:hAnsi="仿宋" w:eastAsia="仿宋"/>
          <w:b/>
          <w:color w:val="000000"/>
          <w:sz w:val="28"/>
          <w:szCs w:val="28"/>
          <w:highlight w:val="white"/>
        </w:rPr>
        <w:t>2.“三公”经费一般公共预算财政拨款支出决算具体情况说明。</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2021年度“三公”经费一般公共预算财政拨款支出决算中，因公出国（境）费用支出决算为0万元，占0%，与2020年度相比，增加 0万元，增长0%，主要原因是近两年均无因公出国等费用支出, 故无此项列支；公务用车购置及运行维护费支出决算为0万元，占0%，与2020年度相比，增加0万元，增长0%，主要原因是本单位无公务车辆；公务接待费支出决算为0.34万元，占100%，与2020年度相比，减少0.3万元，下降46.88%，主要原因是因疫情影响，来单位相互学习考察的次数减少。具体情况如下：</w:t>
      </w:r>
    </w:p>
    <w:p>
      <w:pPr>
        <w:spacing w:line="324" w:lineRule="auto"/>
        <w:ind w:firstLine="594"/>
        <w:rPr>
          <w:rFonts w:ascii="仿宋" w:hAnsi="仿宋" w:eastAsia="仿宋"/>
          <w:color w:val="000000"/>
          <w:sz w:val="28"/>
          <w:szCs w:val="28"/>
          <w:highlight w:val="white"/>
        </w:rPr>
      </w:pPr>
      <w:r>
        <w:rPr>
          <w:rFonts w:hint="eastAsia" w:ascii="仿宋" w:hAnsi="仿宋" w:eastAsia="仿宋"/>
          <w:b/>
          <w:color w:val="000000"/>
          <w:sz w:val="28"/>
          <w:szCs w:val="28"/>
          <w:highlight w:val="white"/>
        </w:rPr>
        <w:t>（1）因公出国（境）费</w:t>
      </w:r>
      <w:r>
        <w:rPr>
          <w:rFonts w:hint="eastAsia" w:ascii="仿宋" w:hAnsi="仿宋" w:eastAsia="仿宋"/>
          <w:color w:val="000000"/>
          <w:sz w:val="28"/>
          <w:szCs w:val="28"/>
          <w:highlight w:val="white"/>
        </w:rPr>
        <w:t>预算数为0万元，支出决算为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完成预算的100%。主要用于单位人员的公务出国（境）的住宿费、国际旅费、培训费、公杂费等支出。决算数等于预算数。全年使用一般公共预算财政拨款支出涉及因公出国(境)团组0个；累计0人次。开支内容包括：无。</w:t>
      </w:r>
    </w:p>
    <w:p>
      <w:pPr>
        <w:spacing w:line="324" w:lineRule="auto"/>
        <w:ind w:firstLine="594"/>
        <w:rPr>
          <w:rFonts w:ascii="仿宋" w:hAnsi="仿宋" w:eastAsia="仿宋"/>
          <w:color w:val="000000"/>
          <w:sz w:val="28"/>
          <w:szCs w:val="28"/>
          <w:highlight w:val="white"/>
        </w:rPr>
      </w:pPr>
      <w:r>
        <w:rPr>
          <w:rFonts w:hint="eastAsia" w:ascii="仿宋" w:hAnsi="仿宋" w:eastAsia="仿宋"/>
          <w:b/>
          <w:color w:val="000000"/>
          <w:sz w:val="28"/>
          <w:szCs w:val="28"/>
          <w:highlight w:val="white"/>
        </w:rPr>
        <w:t>（2）公务用车购置及运行维护费</w:t>
      </w:r>
      <w:r>
        <w:rPr>
          <w:rFonts w:hint="eastAsia" w:ascii="仿宋" w:hAnsi="仿宋" w:eastAsia="仿宋"/>
          <w:color w:val="000000"/>
          <w:sz w:val="28"/>
          <w:szCs w:val="28"/>
          <w:highlight w:val="white"/>
        </w:rPr>
        <w:t>预算数为0万元，支出决算为0万元，完成预算的0%。决算数等于预算数。</w:t>
      </w:r>
    </w:p>
    <w:p>
      <w:pPr>
        <w:spacing w:line="324" w:lineRule="auto"/>
        <w:ind w:firstLine="594"/>
        <w:rPr>
          <w:rFonts w:ascii="仿宋" w:hAnsi="仿宋" w:eastAsia="仿宋"/>
          <w:color w:val="000000"/>
          <w:sz w:val="28"/>
          <w:szCs w:val="28"/>
          <w:highlight w:val="white"/>
        </w:rPr>
      </w:pPr>
      <w:r>
        <w:rPr>
          <w:rFonts w:hint="eastAsia" w:ascii="仿宋" w:hAnsi="仿宋" w:eastAsia="仿宋"/>
          <w:b/>
          <w:color w:val="000000"/>
          <w:sz w:val="28"/>
          <w:szCs w:val="28"/>
          <w:highlight w:val="white"/>
        </w:rPr>
        <w:t>公务用车购置</w:t>
      </w:r>
      <w:r>
        <w:rPr>
          <w:rFonts w:hint="eastAsia" w:ascii="仿宋" w:hAnsi="仿宋" w:eastAsia="仿宋"/>
          <w:color w:val="000000"/>
          <w:sz w:val="28"/>
          <w:szCs w:val="28"/>
          <w:highlight w:val="white"/>
        </w:rPr>
        <w:t>预算数为0万元，支出决算为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（含购置税等附加费用），完成预算的100%。决算数等于预算数。主要原因是2021年未购置公务用车。</w:t>
      </w:r>
    </w:p>
    <w:p>
      <w:pPr>
        <w:spacing w:line="324" w:lineRule="auto"/>
        <w:ind w:firstLine="594"/>
        <w:rPr>
          <w:rFonts w:ascii="仿宋" w:hAnsi="仿宋" w:eastAsia="仿宋"/>
          <w:color w:val="000000"/>
          <w:sz w:val="28"/>
          <w:szCs w:val="28"/>
          <w:highlight w:val="white"/>
        </w:rPr>
      </w:pPr>
      <w:r>
        <w:rPr>
          <w:rFonts w:hint="eastAsia" w:ascii="仿宋" w:hAnsi="仿宋" w:eastAsia="仿宋"/>
          <w:b/>
          <w:color w:val="000000"/>
          <w:sz w:val="28"/>
          <w:szCs w:val="28"/>
          <w:highlight w:val="white"/>
        </w:rPr>
        <w:t>公务用车运行维护费</w:t>
      </w:r>
      <w:r>
        <w:rPr>
          <w:rFonts w:hint="eastAsia" w:ascii="仿宋" w:hAnsi="仿宋" w:eastAsia="仿宋"/>
          <w:color w:val="000000"/>
          <w:sz w:val="28"/>
          <w:szCs w:val="28"/>
          <w:highlight w:val="white"/>
        </w:rPr>
        <w:t>预算数为0万元，支出0万元，完成预算的100%。决算数等于预算数。主要原因是本单位没有公务用车，没有所需的公务用车燃料费、维修费、过路过桥费、保险费、安全奖励费用等支出；2021年度，本级及所属单位开支一般公共预算财政拨款的公务用车保有量为0辆。</w:t>
      </w:r>
    </w:p>
    <w:p>
      <w:pPr>
        <w:spacing w:line="324" w:lineRule="auto"/>
        <w:ind w:firstLine="594"/>
        <w:rPr>
          <w:rFonts w:ascii="仿宋" w:hAnsi="仿宋" w:eastAsia="仿宋"/>
          <w:color w:val="000000"/>
          <w:sz w:val="28"/>
          <w:szCs w:val="28"/>
          <w:highlight w:val="white"/>
        </w:rPr>
      </w:pPr>
      <w:r>
        <w:rPr>
          <w:rFonts w:hint="eastAsia" w:ascii="仿宋" w:hAnsi="仿宋" w:eastAsia="仿宋"/>
          <w:b/>
          <w:color w:val="000000"/>
          <w:sz w:val="28"/>
          <w:szCs w:val="28"/>
          <w:highlight w:val="white"/>
        </w:rPr>
        <w:t>（3）公务接待费</w:t>
      </w:r>
      <w:r>
        <w:rPr>
          <w:rFonts w:hint="eastAsia" w:ascii="仿宋" w:hAnsi="仿宋" w:eastAsia="仿宋"/>
          <w:color w:val="000000"/>
          <w:sz w:val="28"/>
          <w:szCs w:val="28"/>
          <w:highlight w:val="white"/>
        </w:rPr>
        <w:t>预算数为0.8万元，支出决算为0.34万元，完成预算的42.50%。国内公务接待3批次，累计36人次。主要用于接待上级单位来我单位指导检查审核等餐费支出。决算数小于预算数的主要原因是公务接待有所减少。全年使用一般公共预算财政拨款国内公务接待3团组，累计36人次。</w:t>
      </w:r>
    </w:p>
    <w:p>
      <w:pPr>
        <w:spacing w:line="324" w:lineRule="auto"/>
        <w:ind w:firstLine="594"/>
        <w:rPr>
          <w:rFonts w:ascii="仿宋" w:hAnsi="仿宋" w:eastAsia="仿宋"/>
          <w:color w:val="000000"/>
          <w:sz w:val="28"/>
          <w:szCs w:val="28"/>
          <w:highlight w:val="white"/>
        </w:rPr>
      </w:pPr>
      <w:r>
        <w:rPr>
          <w:rFonts w:hint="eastAsia" w:ascii="仿宋" w:hAnsi="仿宋" w:eastAsia="仿宋"/>
          <w:b/>
          <w:color w:val="000000"/>
          <w:sz w:val="28"/>
          <w:szCs w:val="28"/>
          <w:highlight w:val="white"/>
        </w:rPr>
        <w:t>外事接待</w:t>
      </w:r>
      <w:r>
        <w:rPr>
          <w:rFonts w:hint="eastAsia" w:ascii="仿宋" w:hAnsi="仿宋" w:eastAsia="仿宋"/>
          <w:color w:val="000000"/>
          <w:sz w:val="28"/>
          <w:szCs w:val="28"/>
          <w:highlight w:val="white"/>
        </w:rPr>
        <w:t>支出0万元</w:t>
      </w:r>
      <w:r>
        <w:rPr>
          <w:rFonts w:hint="eastAsia" w:ascii="仿宋" w:eastAsia="仿宋" w:cs="仿宋"/>
          <w:color w:val="000000"/>
          <w:sz w:val="32"/>
          <w:szCs w:val="32"/>
          <w:highlight w:val="white"/>
        </w:rPr>
        <w:t>，</w:t>
      </w:r>
      <w:r>
        <w:rPr>
          <w:rFonts w:hint="eastAsia" w:ascii="仿宋" w:hAnsi="仿宋" w:eastAsia="仿宋"/>
          <w:color w:val="000000"/>
          <w:sz w:val="28"/>
          <w:szCs w:val="28"/>
          <w:highlight w:val="white"/>
        </w:rPr>
        <w:t>主要用于外事接待</w:t>
      </w:r>
      <w:r>
        <w:rPr>
          <w:rFonts w:ascii="仿宋" w:hAnsi="仿宋" w:eastAsia="仿宋"/>
          <w:color w:val="000000"/>
          <w:sz w:val="28"/>
          <w:szCs w:val="28"/>
          <w:highlight w:val="white"/>
        </w:rPr>
        <w:t>0</w:t>
      </w:r>
      <w:r>
        <w:rPr>
          <w:rFonts w:hint="eastAsia" w:ascii="仿宋" w:hAnsi="仿宋" w:eastAsia="仿宋"/>
          <w:color w:val="000000"/>
          <w:sz w:val="28"/>
          <w:szCs w:val="28"/>
          <w:highlight w:val="white"/>
        </w:rPr>
        <w:t>批次，累计</w:t>
      </w:r>
      <w:r>
        <w:rPr>
          <w:rFonts w:ascii="仿宋" w:hAnsi="仿宋" w:eastAsia="仿宋"/>
          <w:color w:val="000000"/>
          <w:sz w:val="28"/>
          <w:szCs w:val="28"/>
          <w:highlight w:val="white"/>
        </w:rPr>
        <w:t>0</w:t>
      </w:r>
      <w:r>
        <w:rPr>
          <w:rFonts w:hint="eastAsia" w:ascii="仿宋" w:hAnsi="仿宋" w:eastAsia="仿宋"/>
          <w:color w:val="000000"/>
          <w:sz w:val="28"/>
          <w:szCs w:val="28"/>
          <w:highlight w:val="white"/>
        </w:rPr>
        <w:t>人次。</w:t>
      </w:r>
    </w:p>
    <w:p>
      <w:pPr>
        <w:spacing w:line="324" w:lineRule="auto"/>
        <w:ind w:firstLine="594"/>
        <w:rPr>
          <w:color w:val="000000"/>
          <w:sz w:val="28"/>
          <w:szCs w:val="28"/>
          <w:highlight w:val="white"/>
        </w:rPr>
      </w:pPr>
      <w:r>
        <w:rPr>
          <w:rFonts w:hint="eastAsia" w:ascii="仿宋" w:hAnsi="仿宋" w:eastAsia="仿宋"/>
          <w:b/>
          <w:color w:val="000000"/>
          <w:sz w:val="28"/>
          <w:szCs w:val="28"/>
          <w:highlight w:val="white"/>
        </w:rPr>
        <w:t>其他国内公务接待</w:t>
      </w:r>
      <w:r>
        <w:rPr>
          <w:rFonts w:hint="eastAsia" w:ascii="仿宋" w:hAnsi="仿宋" w:eastAsia="仿宋"/>
          <w:color w:val="000000"/>
          <w:sz w:val="28"/>
          <w:szCs w:val="28"/>
          <w:highlight w:val="white"/>
        </w:rPr>
        <w:t>支出0.34万元，主要用于公务事项接待3批次，累计36人次。</w:t>
      </w:r>
    </w:p>
    <w:p>
      <w:pPr>
        <w:spacing w:line="324" w:lineRule="auto"/>
        <w:ind w:firstLine="594"/>
        <w:rPr>
          <w:rFonts w:ascii="仿宋" w:hAnsi="仿宋" w:eastAsia="仿宋"/>
          <w:color w:val="000000"/>
          <w:sz w:val="28"/>
          <w:szCs w:val="28"/>
          <w:highlight w:val="white"/>
        </w:rPr>
      </w:pPr>
      <w:r>
        <w:rPr>
          <w:rFonts w:hint="eastAsia" w:ascii="楷体" w:hAnsi="楷体" w:eastAsia="楷体"/>
          <w:b/>
          <w:color w:val="000000"/>
          <w:sz w:val="28"/>
          <w:szCs w:val="28"/>
          <w:highlight w:val="white"/>
        </w:rPr>
        <w:t>（十）机关运行经费支出说明</w:t>
      </w:r>
    </w:p>
    <w:p>
      <w:pPr>
        <w:spacing w:line="324" w:lineRule="auto"/>
        <w:ind w:firstLine="594"/>
        <w:rPr>
          <w:rFonts w:ascii="仿宋" w:hAnsi="仿宋" w:eastAsia="仿宋"/>
          <w:sz w:val="28"/>
          <w:szCs w:val="28"/>
          <w:highlight w:val="white"/>
        </w:rPr>
      </w:pPr>
      <w:r>
        <w:rPr>
          <w:rFonts w:hint="eastAsia" w:ascii="仿宋" w:hAnsi="仿宋" w:eastAsia="仿宋"/>
          <w:sz w:val="28"/>
          <w:szCs w:val="28"/>
          <w:highlight w:val="white"/>
        </w:rPr>
        <w:t>2021年度机关运行经费年初预算数为0万元，支出决算为0万元，完成年初预算的100</w:t>
      </w:r>
      <w:r>
        <w:rPr>
          <w:rFonts w:ascii="仿宋" w:hAnsi="仿宋" w:eastAsia="仿宋"/>
          <w:sz w:val="28"/>
          <w:szCs w:val="28"/>
          <w:highlight w:val="white"/>
        </w:rPr>
        <w:t>%</w:t>
      </w:r>
      <w:r>
        <w:rPr>
          <w:rFonts w:hint="eastAsia" w:ascii="仿宋" w:hAnsi="仿宋" w:eastAsia="仿宋"/>
          <w:sz w:val="28"/>
          <w:szCs w:val="28"/>
          <w:highlight w:val="white"/>
        </w:rPr>
        <w:t>，</w:t>
      </w:r>
      <w:r>
        <w:rPr>
          <w:rFonts w:hint="eastAsia" w:ascii="仿宋" w:hAnsi="仿宋" w:eastAsia="仿宋"/>
          <w:color w:val="000000"/>
          <w:sz w:val="28"/>
          <w:szCs w:val="28"/>
          <w:highlight w:val="white"/>
        </w:rPr>
        <w:t>决算数等于预算数，</w:t>
      </w:r>
      <w:r>
        <w:rPr>
          <w:rFonts w:hint="eastAsia" w:ascii="仿宋" w:hAnsi="仿宋" w:eastAsia="仿宋"/>
          <w:sz w:val="28"/>
          <w:szCs w:val="28"/>
          <w:highlight w:val="white"/>
        </w:rPr>
        <w:t>且与2020年持平，主要原因是本单位为非参公事业单位，无机关运行经费。</w:t>
      </w:r>
    </w:p>
    <w:p>
      <w:pPr>
        <w:spacing w:line="324" w:lineRule="auto"/>
        <w:ind w:firstLine="560" w:firstLineChars="200"/>
        <w:rPr>
          <w:rFonts w:ascii="仿宋" w:hAnsi="仿宋" w:eastAsia="仿宋"/>
          <w:b/>
          <w:sz w:val="28"/>
          <w:szCs w:val="28"/>
          <w:highlight w:val="white"/>
          <w:u w:val="single"/>
        </w:rPr>
      </w:pPr>
      <w:r>
        <w:rPr>
          <w:rFonts w:hint="eastAsia" w:ascii="楷体" w:hAnsi="楷体" w:eastAsia="楷体"/>
          <w:b/>
          <w:color w:val="000000"/>
          <w:sz w:val="28"/>
          <w:szCs w:val="28"/>
          <w:highlight w:val="white"/>
        </w:rPr>
        <w:t>（十一）政府采购支出说明</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2021年度政府采购支出总额54.54万元，其中：政府采购货物支出54.54万元、政府采购工程支出0</w:t>
      </w:r>
      <w:r>
        <w:rPr>
          <w:rFonts w:hint="eastAsia" w:ascii="仿宋" w:hAnsi="仿宋" w:eastAsia="仿宋"/>
          <w:kern w:val="0"/>
          <w:sz w:val="28"/>
          <w:szCs w:val="28"/>
          <w:highlight w:val="white"/>
        </w:rPr>
        <w:t>万元</w:t>
      </w:r>
      <w:r>
        <w:rPr>
          <w:rFonts w:hint="eastAsia" w:ascii="仿宋" w:hAnsi="仿宋" w:eastAsia="仿宋"/>
          <w:color w:val="000000"/>
          <w:sz w:val="28"/>
          <w:szCs w:val="28"/>
          <w:highlight w:val="white"/>
        </w:rPr>
        <w:t>、政府采购服务支出0万元。授予中小企业合同金额55万元，占政府采购支出总额的100%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spacing w:line="324" w:lineRule="auto"/>
        <w:ind w:firstLine="594"/>
        <w:rPr>
          <w:rFonts w:ascii="仿宋" w:hAnsi="仿宋" w:eastAsia="仿宋"/>
          <w:b/>
          <w:sz w:val="28"/>
          <w:szCs w:val="28"/>
          <w:highlight w:val="white"/>
          <w:u w:val="single"/>
        </w:rPr>
      </w:pPr>
      <w:r>
        <w:rPr>
          <w:rFonts w:hint="eastAsia" w:ascii="楷体" w:hAnsi="楷体" w:eastAsia="楷体"/>
          <w:b/>
          <w:color w:val="000000"/>
          <w:sz w:val="28"/>
          <w:szCs w:val="28"/>
          <w:highlight w:val="white"/>
        </w:rPr>
        <w:t>（十二）国有资产占有情况说明</w:t>
      </w:r>
    </w:p>
    <w:p>
      <w:pPr>
        <w:spacing w:line="324" w:lineRule="auto"/>
        <w:ind w:firstLine="594"/>
        <w:rPr>
          <w:rFonts w:ascii="楷体" w:hAnsi="楷体" w:eastAsia="楷体"/>
          <w:b/>
          <w:color w:val="000000"/>
          <w:sz w:val="28"/>
          <w:szCs w:val="28"/>
          <w:highlight w:val="white"/>
        </w:rPr>
      </w:pPr>
      <w:r>
        <w:rPr>
          <w:rFonts w:hint="eastAsia" w:ascii="仿宋" w:hAnsi="仿宋" w:eastAsia="仿宋"/>
          <w:color w:val="000000"/>
          <w:sz w:val="28"/>
          <w:szCs w:val="28"/>
          <w:highlight w:val="white"/>
        </w:rPr>
        <w:t>截至2021年12月31日，本单位共有车辆2辆，其中，副部（省）级及以上领导用车0辆、主要领导干部用车0辆、机要通信用车0辆、应急保障用车0辆、执法执勤用车0辆、特种专业技术用车2辆、离退休干部用车0辆、其他用车0辆,其他用车无；单价50万元以上通用设备0台，单价100万元以上专用设备0台。</w:t>
      </w:r>
      <w:r>
        <w:rPr>
          <w:rFonts w:hint="eastAsia" w:ascii="仿宋_GB2312" w:eastAsia="仿宋_GB2312"/>
          <w:color w:val="000000"/>
          <w:sz w:val="28"/>
          <w:szCs w:val="28"/>
          <w:highlight w:val="white"/>
        </w:rPr>
        <w:t xml:space="preserve"> </w:t>
      </w:r>
    </w:p>
    <w:p>
      <w:pPr>
        <w:spacing w:line="324" w:lineRule="auto"/>
        <w:ind w:firstLine="594"/>
        <w:rPr>
          <w:rFonts w:ascii="仿宋" w:hAnsi="仿宋" w:eastAsia="仿宋"/>
          <w:color w:val="000000"/>
          <w:sz w:val="28"/>
          <w:szCs w:val="28"/>
          <w:highlight w:val="white"/>
        </w:rPr>
      </w:pPr>
      <w:r>
        <w:rPr>
          <w:rFonts w:hint="eastAsia" w:ascii="楷体" w:hAnsi="楷体" w:eastAsia="楷体"/>
          <w:b/>
          <w:color w:val="000000"/>
          <w:sz w:val="28"/>
          <w:szCs w:val="28"/>
          <w:highlight w:val="white"/>
        </w:rPr>
        <w:t>（十三）预算绩效情况说明</w:t>
      </w:r>
    </w:p>
    <w:p>
      <w:pPr>
        <w:spacing w:line="324" w:lineRule="auto"/>
        <w:ind w:firstLine="594"/>
        <w:rPr>
          <w:rFonts w:ascii="仿宋" w:hAnsi="仿宋" w:eastAsia="仿宋"/>
          <w:color w:val="000000"/>
          <w:sz w:val="28"/>
          <w:szCs w:val="28"/>
          <w:highlight w:val="white"/>
        </w:rPr>
      </w:pPr>
      <w:r>
        <w:rPr>
          <w:rFonts w:hint="eastAsia" w:ascii="仿宋" w:hAnsi="仿宋" w:eastAsia="仿宋"/>
          <w:b/>
          <w:color w:val="000000"/>
          <w:sz w:val="28"/>
          <w:szCs w:val="28"/>
          <w:highlight w:val="white"/>
        </w:rPr>
        <w:t>1.预算绩效管理工作开展情况。</w:t>
      </w:r>
    </w:p>
    <w:p>
      <w:pPr>
        <w:spacing w:line="324" w:lineRule="auto"/>
        <w:ind w:firstLine="594"/>
        <w:rPr>
          <w:rFonts w:ascii="仿宋" w:hAnsi="仿宋" w:eastAsia="仿宋"/>
          <w:sz w:val="28"/>
          <w:szCs w:val="28"/>
          <w:highlight w:val="white"/>
        </w:rPr>
      </w:pPr>
      <w:r>
        <w:rPr>
          <w:rFonts w:hint="eastAsia" w:ascii="仿宋" w:hAnsi="仿宋" w:eastAsia="仿宋"/>
          <w:color w:val="000000"/>
          <w:sz w:val="28"/>
          <w:szCs w:val="28"/>
          <w:highlight w:val="white"/>
        </w:rPr>
        <w:t>根据预算绩效管理</w:t>
      </w:r>
      <w:r>
        <w:rPr>
          <w:rFonts w:hint="eastAsia" w:ascii="仿宋" w:hAnsi="仿宋" w:eastAsia="仿宋"/>
          <w:sz w:val="28"/>
          <w:szCs w:val="28"/>
          <w:highlight w:val="white"/>
        </w:rPr>
        <w:t>要求，本单位组织对2021年度一般公共预算项目支出全面开展绩效自评，其中，一级项目0个，二级项目3个，共涉及资金24.77万元，占一般公共预算项目支出总额的100%</w:t>
      </w:r>
    </w:p>
    <w:p>
      <w:pPr>
        <w:spacing w:line="324" w:lineRule="auto"/>
        <w:ind w:firstLine="594"/>
        <w:rPr>
          <w:rFonts w:ascii="仿宋" w:hAnsi="仿宋" w:eastAsia="仿宋"/>
          <w:sz w:val="28"/>
          <w:szCs w:val="28"/>
          <w:highlight w:val="white"/>
        </w:rPr>
      </w:pPr>
      <w:r>
        <w:rPr>
          <w:rFonts w:hint="eastAsia" w:ascii="仿宋" w:hAnsi="仿宋" w:eastAsia="仿宋"/>
          <w:sz w:val="28"/>
          <w:szCs w:val="28"/>
          <w:highlight w:val="white"/>
        </w:rPr>
        <w:t>本年度无政府性基金预算项目，故未开展政府性基金预算项目支出绩效自评。</w:t>
      </w:r>
    </w:p>
    <w:p>
      <w:pPr>
        <w:spacing w:line="324" w:lineRule="auto"/>
        <w:ind w:firstLine="594"/>
        <w:rPr>
          <w:rFonts w:ascii="仿宋" w:hAnsi="仿宋" w:eastAsia="仿宋"/>
          <w:sz w:val="28"/>
          <w:szCs w:val="28"/>
          <w:highlight w:val="white"/>
        </w:rPr>
      </w:pPr>
      <w:r>
        <w:rPr>
          <w:rFonts w:hint="eastAsia" w:ascii="仿宋" w:hAnsi="仿宋" w:eastAsia="仿宋"/>
          <w:color w:val="000000"/>
          <w:sz w:val="28"/>
          <w:szCs w:val="28"/>
          <w:highlight w:val="white"/>
        </w:rPr>
        <w:t>本年无国有资本经营预算项目。</w:t>
      </w:r>
    </w:p>
    <w:p>
      <w:pPr>
        <w:spacing w:line="324" w:lineRule="auto"/>
        <w:ind w:firstLine="594"/>
        <w:rPr>
          <w:rFonts w:ascii="仿宋" w:hAnsi="仿宋" w:eastAsia="仿宋"/>
          <w:sz w:val="28"/>
          <w:szCs w:val="28"/>
          <w:highlight w:val="white"/>
        </w:rPr>
      </w:pPr>
      <w:r>
        <w:rPr>
          <w:rFonts w:hint="eastAsia" w:ascii="仿宋" w:hAnsi="仿宋" w:eastAsia="仿宋"/>
          <w:sz w:val="28"/>
          <w:szCs w:val="28"/>
          <w:highlight w:val="white"/>
        </w:rPr>
        <w:t>本年无部门评价。</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本年无部门整体支出绩效评价。</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本年无下属单位整体支出绩效评价。</w:t>
      </w:r>
    </w:p>
    <w:p>
      <w:pPr>
        <w:spacing w:line="324" w:lineRule="auto"/>
        <w:ind w:firstLine="594"/>
        <w:rPr>
          <w:rFonts w:ascii="仿宋" w:hAnsi="仿宋" w:eastAsia="仿宋"/>
          <w:color w:val="000000"/>
          <w:sz w:val="28"/>
          <w:szCs w:val="28"/>
          <w:highlight w:val="white"/>
        </w:rPr>
      </w:pPr>
      <w:r>
        <w:rPr>
          <w:rFonts w:hint="eastAsia" w:ascii="仿宋" w:hAnsi="仿宋" w:eastAsia="仿宋"/>
          <w:b/>
          <w:color w:val="000000"/>
          <w:sz w:val="28"/>
          <w:szCs w:val="28"/>
          <w:highlight w:val="white"/>
        </w:rPr>
        <w:t>2.单位决算中项目绩效自评结果</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兰溪市中心血库在2021年度单位决算中反映设备购置及血库管理成本项目绩效自评结果。</w:t>
      </w:r>
    </w:p>
    <w:p>
      <w:pPr>
        <w:spacing w:line="324" w:lineRule="auto"/>
        <w:ind w:firstLine="594"/>
        <w:rPr>
          <w:rFonts w:ascii="仿宋" w:hAnsi="仿宋" w:eastAsia="仿宋"/>
          <w:b/>
          <w:color w:val="000000"/>
          <w:sz w:val="28"/>
          <w:szCs w:val="28"/>
          <w:highlight w:val="white"/>
          <w:u w:val="single"/>
        </w:rPr>
      </w:pPr>
      <w:r>
        <w:rPr>
          <w:rFonts w:hint="eastAsia" w:ascii="仿宋" w:hAnsi="仿宋" w:eastAsia="仿宋"/>
          <w:color w:val="000000"/>
          <w:sz w:val="28"/>
          <w:szCs w:val="28"/>
          <w:highlight w:val="white"/>
        </w:rPr>
        <w:t>血库管理成本项目绩效自评综述：根据年初设定的绩效目标，项目自评得分97分，自评结论为“良”。项目全年预算数为144.77万元，执行数为114.75万元，完成预算的79.27%。项目绩效目标完成情况：一是按文件要求上交金华血站血液检测费；二是支付各单位调血费。发现的问题及原因：部分检测费发票未开。下一步改进措施：及时支付相关费用。</w:t>
      </w:r>
      <w:r>
        <w:rPr>
          <w:rFonts w:hint="eastAsia" w:ascii="仿宋" w:hAnsi="仿宋" w:eastAsia="仿宋"/>
          <w:b/>
          <w:color w:val="000000"/>
          <w:sz w:val="28"/>
          <w:szCs w:val="28"/>
          <w:highlight w:val="white"/>
          <w:u w:val="single"/>
        </w:rPr>
        <w:t>附血库管理成本项目绩效自评表。</w:t>
      </w:r>
    </w:p>
    <w:p>
      <w:pPr>
        <w:spacing w:line="324" w:lineRule="auto"/>
        <w:ind w:firstLine="594"/>
        <w:jc w:val="left"/>
        <w:rPr>
          <w:rFonts w:ascii="仿宋" w:hAnsi="仿宋" w:eastAsia="仿宋"/>
          <w:b/>
          <w:color w:val="000000"/>
          <w:sz w:val="28"/>
          <w:szCs w:val="28"/>
          <w:highlight w:val="white"/>
          <w:u w:val="single"/>
        </w:rPr>
      </w:pPr>
      <w:r>
        <w:drawing>
          <wp:inline distT="0" distB="0" distL="0" distR="0">
            <wp:extent cx="5442585" cy="7030085"/>
            <wp:effectExtent l="19050" t="0" r="5715" b="0"/>
            <wp:docPr id="1" name="图片 1" descr="C:\Users\ADMINI~1\AppData\Local\Temp\ksohtml1059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10592\wps1.png"/>
                    <pic:cNvPicPr>
                      <a:picLocks noChangeAspect="1" noChangeArrowheads="1"/>
                    </pic:cNvPicPr>
                  </pic:nvPicPr>
                  <pic:blipFill>
                    <a:blip r:embed="rId4" cstate="print"/>
                    <a:srcRect/>
                    <a:stretch>
                      <a:fillRect/>
                    </a:stretch>
                  </pic:blipFill>
                  <pic:spPr>
                    <a:xfrm>
                      <a:off x="0" y="0"/>
                      <a:ext cx="5442585" cy="7030085"/>
                    </a:xfrm>
                    <a:prstGeom prst="rect">
                      <a:avLst/>
                    </a:prstGeom>
                    <a:noFill/>
                    <a:ln w="9525">
                      <a:noFill/>
                      <a:miter lim="800000"/>
                      <a:headEnd/>
                      <a:tailEnd/>
                    </a:ln>
                  </pic:spPr>
                </pic:pic>
              </a:graphicData>
            </a:graphic>
          </wp:inline>
        </w:drawing>
      </w:r>
    </w:p>
    <w:p>
      <w:pPr>
        <w:spacing w:line="324" w:lineRule="auto"/>
        <w:ind w:firstLine="594"/>
        <w:rPr>
          <w:rFonts w:ascii="仿宋" w:hAnsi="仿宋" w:eastAsia="仿宋"/>
          <w:b/>
          <w:color w:val="000000"/>
          <w:sz w:val="28"/>
          <w:szCs w:val="28"/>
          <w:highlight w:val="white"/>
          <w:u w:val="single"/>
        </w:rPr>
      </w:pPr>
      <w:r>
        <w:rPr>
          <w:rFonts w:hint="eastAsia" w:ascii="仿宋" w:hAnsi="仿宋" w:eastAsia="仿宋"/>
          <w:color w:val="000000"/>
          <w:sz w:val="28"/>
          <w:szCs w:val="28"/>
          <w:highlight w:val="white"/>
        </w:rPr>
        <w:t>设备购置项目绩效自评综述：根据年初设定的绩效目标，项目自评得分97分，自评结论为“良”。项目全年预算数为30万元，执行数为23.54万元，完成预算的78.45%。项目绩效目标完成情况：按实际需求采购血液相关的设备。发现的问题及原因：小部分设备为进口设备未采购完成。下一步改进措施：年初预算时更全面合理的考虑采购情况</w:t>
      </w:r>
      <w:r>
        <w:rPr>
          <w:rFonts w:hint="eastAsia" w:ascii="仿宋" w:hAnsi="仿宋" w:eastAsia="仿宋"/>
          <w:b/>
          <w:color w:val="000000"/>
          <w:sz w:val="28"/>
          <w:szCs w:val="28"/>
          <w:highlight w:val="white"/>
        </w:rPr>
        <w:t>。</w:t>
      </w:r>
      <w:r>
        <w:rPr>
          <w:rFonts w:hint="eastAsia" w:ascii="仿宋" w:hAnsi="仿宋" w:eastAsia="仿宋"/>
          <w:b/>
          <w:color w:val="000000"/>
          <w:sz w:val="28"/>
          <w:szCs w:val="28"/>
          <w:highlight w:val="white"/>
          <w:u w:val="single"/>
        </w:rPr>
        <w:t>附设备购置项目绩效自评表。</w:t>
      </w:r>
    </w:p>
    <w:p>
      <w:pPr>
        <w:spacing w:line="324" w:lineRule="auto"/>
        <w:ind w:firstLine="594"/>
        <w:rPr>
          <w:rFonts w:ascii="仿宋" w:hAnsi="仿宋" w:eastAsia="仿宋"/>
          <w:b/>
          <w:color w:val="000000"/>
          <w:sz w:val="28"/>
          <w:szCs w:val="28"/>
          <w:highlight w:val="white"/>
          <w:u w:val="single"/>
        </w:rPr>
      </w:pPr>
      <w:r>
        <w:drawing>
          <wp:inline distT="0" distB="0" distL="0" distR="0">
            <wp:extent cx="4900930" cy="8002905"/>
            <wp:effectExtent l="19050" t="0" r="0" b="0"/>
            <wp:docPr id="2" name="图片 2" descr="C:\Users\ADMINI~1\AppData\Local\Temp\ksohtml10592\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ksohtml10592\wps2.png"/>
                    <pic:cNvPicPr>
                      <a:picLocks noChangeAspect="1" noChangeArrowheads="1"/>
                    </pic:cNvPicPr>
                  </pic:nvPicPr>
                  <pic:blipFill>
                    <a:blip r:embed="rId5" cstate="print"/>
                    <a:srcRect/>
                    <a:stretch>
                      <a:fillRect/>
                    </a:stretch>
                  </pic:blipFill>
                  <pic:spPr>
                    <a:xfrm>
                      <a:off x="0" y="0"/>
                      <a:ext cx="4900930" cy="8002905"/>
                    </a:xfrm>
                    <a:prstGeom prst="rect">
                      <a:avLst/>
                    </a:prstGeom>
                    <a:noFill/>
                    <a:ln w="9525">
                      <a:noFill/>
                      <a:miter lim="800000"/>
                      <a:headEnd/>
                      <a:tailEnd/>
                    </a:ln>
                  </pic:spPr>
                </pic:pic>
              </a:graphicData>
            </a:graphic>
          </wp:inline>
        </w:drawing>
      </w:r>
    </w:p>
    <w:p>
      <w:pPr>
        <w:spacing w:line="324" w:lineRule="auto"/>
        <w:ind w:firstLine="594"/>
        <w:rPr>
          <w:rFonts w:ascii="仿宋" w:hAnsi="仿宋" w:eastAsia="仿宋"/>
          <w:b/>
          <w:color w:val="000000"/>
          <w:sz w:val="28"/>
          <w:szCs w:val="28"/>
          <w:highlight w:val="white"/>
        </w:rPr>
      </w:pPr>
      <w:r>
        <w:rPr>
          <w:rFonts w:hint="eastAsia" w:ascii="仿宋" w:hAnsi="仿宋" w:eastAsia="仿宋"/>
          <w:b/>
          <w:color w:val="000000"/>
          <w:sz w:val="28"/>
          <w:szCs w:val="28"/>
          <w:highlight w:val="white"/>
        </w:rPr>
        <w:t>3.财政评价项目绩效评价结果</w:t>
      </w:r>
    </w:p>
    <w:p>
      <w:pPr>
        <w:autoSpaceDE w:val="0"/>
        <w:autoSpaceDN w:val="0"/>
        <w:adjustRightInd w:val="0"/>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无财政评价项目绩效评价结果。</w:t>
      </w:r>
    </w:p>
    <w:p>
      <w:pPr>
        <w:spacing w:line="324" w:lineRule="auto"/>
        <w:ind w:firstLine="594"/>
        <w:rPr>
          <w:rFonts w:ascii="仿宋" w:hAnsi="仿宋" w:eastAsia="仿宋"/>
          <w:b/>
          <w:color w:val="000000"/>
          <w:sz w:val="28"/>
          <w:szCs w:val="28"/>
          <w:highlight w:val="white"/>
        </w:rPr>
      </w:pPr>
      <w:r>
        <w:rPr>
          <w:rFonts w:hint="eastAsia" w:ascii="仿宋" w:hAnsi="仿宋" w:eastAsia="仿宋"/>
          <w:b/>
          <w:color w:val="000000"/>
          <w:sz w:val="28"/>
          <w:szCs w:val="28"/>
          <w:highlight w:val="white"/>
        </w:rPr>
        <w:t>4.部门评价项目绩效评价结果</w:t>
      </w:r>
    </w:p>
    <w:p>
      <w:pPr>
        <w:autoSpaceDE w:val="0"/>
        <w:autoSpaceDN w:val="0"/>
        <w:adjustRightInd w:val="0"/>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无部门评价项目绩效评价结果。</w:t>
      </w:r>
    </w:p>
    <w:p>
      <w:pPr>
        <w:spacing w:line="324" w:lineRule="auto"/>
        <w:ind w:firstLine="594"/>
        <w:rPr>
          <w:sz w:val="28"/>
          <w:szCs w:val="28"/>
          <w:highlight w:val="white"/>
        </w:rPr>
      </w:pPr>
      <w:r>
        <w:rPr>
          <w:rFonts w:hint="eastAsia" w:ascii="仿宋" w:hAnsi="仿宋" w:eastAsia="仿宋"/>
          <w:sz w:val="28"/>
          <w:szCs w:val="28"/>
          <w:highlight w:val="white"/>
        </w:rPr>
        <w:t>说明：</w:t>
      </w:r>
      <w:r>
        <w:rPr>
          <w:rFonts w:hint="eastAsia" w:ascii="仿宋" w:hAnsi="仿宋" w:eastAsia="仿宋"/>
          <w:b/>
          <w:sz w:val="28"/>
          <w:szCs w:val="28"/>
          <w:highlight w:val="white"/>
        </w:rPr>
        <w:t>部门评价项目</w:t>
      </w:r>
      <w:r>
        <w:rPr>
          <w:rFonts w:hint="eastAsia" w:ascii="仿宋" w:hAnsi="仿宋" w:eastAsia="仿宋"/>
          <w:sz w:val="28"/>
          <w:szCs w:val="28"/>
          <w:highlight w:val="white"/>
        </w:rPr>
        <w:t>是指本部门自行开展的评价对象为本部门政策、项目、整体支出或下属单位整体支出的绩效评价；</w:t>
      </w:r>
      <w:r>
        <w:rPr>
          <w:rFonts w:hint="eastAsia" w:ascii="仿宋" w:hAnsi="仿宋" w:eastAsia="仿宋"/>
          <w:b/>
          <w:sz w:val="28"/>
          <w:szCs w:val="28"/>
          <w:highlight w:val="white"/>
        </w:rPr>
        <w:t>财政评价项目</w:t>
      </w:r>
      <w:r>
        <w:rPr>
          <w:rFonts w:hint="eastAsia" w:ascii="仿宋" w:hAnsi="仿宋" w:eastAsia="仿宋"/>
          <w:sz w:val="28"/>
          <w:szCs w:val="28"/>
          <w:highlight w:val="white"/>
        </w:rPr>
        <w:t>是指以由财政部门开展的评价对象为本部门政策、项目或整体支出的绩效评价项目。</w:t>
      </w:r>
    </w:p>
    <w:p>
      <w:pPr>
        <w:spacing w:line="324" w:lineRule="auto"/>
        <w:ind w:firstLine="600"/>
        <w:rPr>
          <w:b/>
          <w:color w:val="000000"/>
          <w:sz w:val="28"/>
          <w:szCs w:val="28"/>
          <w:highlight w:val="white"/>
        </w:rPr>
      </w:pPr>
      <w:r>
        <w:rPr>
          <w:rFonts w:hint="eastAsia" w:ascii="黑体" w:hAnsi="黑体" w:eastAsia="黑体"/>
          <w:b/>
          <w:color w:val="000000"/>
          <w:sz w:val="28"/>
          <w:szCs w:val="28"/>
          <w:highlight w:val="white"/>
        </w:rPr>
        <w:t>四、名词解释</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1.财政拨款收入：指本级财政部门当年拨付的财政预算资金，包括一般公共预算财政拨款、政府性基金预算财政拨款和国有资本经预算财政拨款。</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2.事业收入：指事业单位开展专业业务活动及辅助活动所取得的收入。</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3.经营收入：指事业单位在专业业务活动及辅助活动之外开展非独立核算经营活动取得的收入。</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4.上级补助收入：指事业单位从主管部门和上级单位取得的非财政补助收入。</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5.附属单位上缴收入：指事业单位附属独立核算单位按照有关规定上缴的收入。</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6.其他收入：指预算单位在“财政拨款”、“事业收入”、“经营收入”、“上级补助收入”、“附属单位上缴收入”等之外取得的各项收入。</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7.使用非财政拨款结余：指事业单位使用以前年度积累的非财政拨款结余弥补当年收支差额的金额。</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8.年初结转和结余：指预算单位以前年度尚未完成、结转到本年仍按原规定用途继续使用的资金。</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9.年末结转和结余：指单位按有关规定结转到下年或以后年度继续使用的资金。</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10.基本支出：指预算单位为保障其正常运转，完成日常工作任务所发生的支出，包括人员经费支出和日常公用经费支出。</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11.项目支出：指预算单位为完成其特定的行政工作任务或事业发展目标所发生的支出。</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12.上缴上级支出：填列事业单位按照财政部门和主管部门的规定上缴上级单位的支出。</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13.经营支出：指事业单位在专业业务活动及其辅助活动之外开展非独立核算经营活动发生的支出。</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14.附属单位补助支出：填列事业单位用财政补助收入之外的收入对附属单位补助发生的支出。</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24" w:lineRule="auto"/>
        <w:ind w:firstLine="594"/>
        <w:rPr>
          <w:rFonts w:ascii="仿宋" w:hAnsi="仿宋" w:eastAsia="仿宋"/>
          <w:b/>
          <w:sz w:val="28"/>
          <w:szCs w:val="28"/>
          <w:highlight w:val="white"/>
          <w:u w:val="single"/>
        </w:rPr>
      </w:pPr>
      <w:r>
        <w:rPr>
          <w:rFonts w:hint="eastAsia" w:ascii="仿宋" w:hAnsi="仿宋" w:eastAsia="仿宋"/>
          <w:color w:val="000000"/>
          <w:sz w:val="28"/>
          <w:szCs w:val="28"/>
          <w:highlight w:val="white"/>
        </w:rPr>
        <w:t xml:space="preserve">17. </w:t>
      </w:r>
      <w:r>
        <w:rPr>
          <w:rFonts w:ascii="仿宋" w:hAnsi="仿宋" w:eastAsia="仿宋"/>
          <w:color w:val="000000"/>
          <w:sz w:val="28"/>
          <w:szCs w:val="28"/>
          <w:highlight w:val="white"/>
        </w:rPr>
        <w:t>2100406</w:t>
      </w:r>
      <w:r>
        <w:rPr>
          <w:rFonts w:hint="eastAsia" w:ascii="仿宋" w:hAnsi="仿宋" w:eastAsia="仿宋"/>
          <w:color w:val="000000"/>
          <w:sz w:val="28"/>
          <w:szCs w:val="28"/>
          <w:highlight w:val="white"/>
        </w:rPr>
        <w:t>卫生健康支出（类）公共卫生（款）采供血机构（项）：反映卫生和计划生育部门所属采供血机构的支出。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3B71"/>
    <w:rsid w:val="00163CC1"/>
    <w:rsid w:val="00163CCB"/>
    <w:rsid w:val="001A3A4F"/>
    <w:rsid w:val="001C59F5"/>
    <w:rsid w:val="00266E54"/>
    <w:rsid w:val="002A7866"/>
    <w:rsid w:val="002B03D7"/>
    <w:rsid w:val="002C1AEC"/>
    <w:rsid w:val="003009C7"/>
    <w:rsid w:val="0036178F"/>
    <w:rsid w:val="003B38A6"/>
    <w:rsid w:val="00416F92"/>
    <w:rsid w:val="0047380A"/>
    <w:rsid w:val="00477657"/>
    <w:rsid w:val="004A02D6"/>
    <w:rsid w:val="004C5CEE"/>
    <w:rsid w:val="004E7EB2"/>
    <w:rsid w:val="004F66B1"/>
    <w:rsid w:val="00662757"/>
    <w:rsid w:val="006A7C20"/>
    <w:rsid w:val="007528EB"/>
    <w:rsid w:val="00870A31"/>
    <w:rsid w:val="008741EB"/>
    <w:rsid w:val="008C087B"/>
    <w:rsid w:val="008E4CAE"/>
    <w:rsid w:val="00951D9B"/>
    <w:rsid w:val="009700B4"/>
    <w:rsid w:val="009D1F26"/>
    <w:rsid w:val="009D3B71"/>
    <w:rsid w:val="00A7625A"/>
    <w:rsid w:val="00BC1AE6"/>
    <w:rsid w:val="00CB34B6"/>
    <w:rsid w:val="00CE686F"/>
    <w:rsid w:val="00D80665"/>
    <w:rsid w:val="00DC6F0B"/>
    <w:rsid w:val="00EA520C"/>
    <w:rsid w:val="00EC7D5B"/>
    <w:rsid w:val="00F47BE5"/>
    <w:rsid w:val="00FA2797"/>
    <w:rsid w:val="00FC1E07"/>
    <w:rsid w:val="00FE0154"/>
    <w:rsid w:val="5460003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uiPriority w:val="99"/>
    <w:rPr>
      <w:rFonts w:ascii="Times New Roman" w:hAnsi="Times New Roman" w:eastAsia="宋体" w:cs="Times New Roman"/>
      <w:sz w:val="18"/>
      <w:szCs w:val="18"/>
    </w:rPr>
  </w:style>
  <w:style w:type="character" w:customStyle="1" w:styleId="8">
    <w:name w:val="页眉 Char"/>
    <w:basedOn w:val="5"/>
    <w:link w:val="4"/>
    <w:semiHidden/>
    <w:qFormat/>
    <w:uiPriority w:val="99"/>
    <w:rPr>
      <w:rFonts w:ascii="Times New Roman" w:hAnsi="Times New Roman" w:eastAsia="宋体" w:cs="Times New Roman"/>
      <w:sz w:val="18"/>
      <w:szCs w:val="18"/>
    </w:rPr>
  </w:style>
  <w:style w:type="character" w:customStyle="1" w:styleId="9">
    <w:name w:val="页脚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936</Words>
  <Characters>5340</Characters>
  <Lines>44</Lines>
  <Paragraphs>12</Paragraphs>
  <TotalTime>0</TotalTime>
  <ScaleCrop>false</ScaleCrop>
  <LinksUpToDate>false</LinksUpToDate>
  <CharactersWithSpaces>6264</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2022-09-23T07:39:00Z</dcterms:created>
  <dc:creator>PC</dc:creator>
  <cp:lastModifiedBy>唐晓媚</cp:lastModifiedBy>
  <cp:lastPrinted>2023-08-09T07:22:00Z</cp:lastPrinted>
  <dcterms:modified xsi:type="dcterms:W3CDTF">2023-11-15T02:13:03Z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