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0"/>
        <w:jc w:val="center"/>
        <w:textAlignment w:val="auto"/>
        <w:rPr>
          <w:rStyle w:val="8"/>
          <w:rFonts w:ascii="微软雅黑" w:eastAsia="微软雅黑"/>
          <w:bCs/>
          <w:color w:val="3D3D3D"/>
          <w:sz w:val="32"/>
          <w:szCs w:val="32"/>
        </w:rPr>
      </w:pPr>
      <w:r>
        <w:rPr>
          <w:rFonts w:hint="eastAsia" w:ascii="方正小标宋简体" w:eastAsia="方正小标宋简体"/>
          <w:bCs/>
          <w:sz w:val="44"/>
        </w:rPr>
        <w:t>《兰溪市绿色种养循环农业试点县项目</w:t>
      </w:r>
      <w:r>
        <w:rPr>
          <w:rFonts w:hint="eastAsia" w:ascii="方正小标宋简体" w:eastAsia="方正小标宋简体"/>
          <w:bCs/>
          <w:sz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bCs/>
          <w:sz w:val="44"/>
        </w:rPr>
        <w:t>实施办法》</w:t>
      </w:r>
      <w:r>
        <w:rPr>
          <w:rFonts w:ascii="方正小标宋简体" w:eastAsia="方正小标宋简体"/>
          <w:bCs/>
          <w:sz w:val="44"/>
        </w:rPr>
        <w:t>起草说明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3" w:firstLineChars="200"/>
        <w:rPr>
          <w:rFonts w:ascii="仿宋_GB2312" w:eastAsia="仿宋_GB2312"/>
          <w:color w:val="3D3D3D"/>
          <w:sz w:val="32"/>
          <w:szCs w:val="32"/>
        </w:rPr>
      </w:pPr>
      <w:r>
        <w:rPr>
          <w:rStyle w:val="8"/>
          <w:rFonts w:hint="eastAsia" w:ascii="仿宋_GB2312" w:eastAsia="仿宋_GB2312"/>
          <w:bCs/>
          <w:color w:val="3D3D3D"/>
          <w:sz w:val="32"/>
          <w:szCs w:val="32"/>
        </w:rPr>
        <w:t>一、制定背景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color w:val="3D3D3D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根据《农业农村部办公厅  财政部办公厅关于开展绿色种养循环农业试点工作的通知》（农办农〔2021〕10号）要求，及《浙江省农业农村厅  浙江省财政厅关于下达2021年第二批中央农业生产发展等专业资金任务清单的通知》（浙农计发〔2021〕19号）中农业资源及生态保护资金项目实施方案及任务清单要求，特制定兰溪市绿色种养循环农业试点县项目实施办法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3" w:firstLineChars="200"/>
        <w:rPr>
          <w:rFonts w:ascii="仿宋_GB2312" w:eastAsia="仿宋_GB2312"/>
          <w:color w:val="3D3D3D"/>
          <w:sz w:val="32"/>
          <w:szCs w:val="32"/>
        </w:rPr>
      </w:pPr>
      <w:r>
        <w:rPr>
          <w:rStyle w:val="8"/>
          <w:rFonts w:hint="eastAsia" w:ascii="仿宋_GB2312" w:eastAsia="仿宋_GB2312"/>
          <w:bCs/>
          <w:color w:val="3D3D3D"/>
          <w:sz w:val="32"/>
          <w:szCs w:val="32"/>
        </w:rPr>
        <w:t>二、政策依据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color w:val="3D3D3D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《农业农村部办公厅  财政部办公厅关于开展绿色种养循环农业试点工作的通知》（农办农〔2021〕10号）及《浙江省农业农村厅  浙江省财政厅关于下达2021年第二批中央农业生产发展等专业资金任务清单的通知》（浙农计发〔2021〕19号）。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3" w:firstLineChars="200"/>
        <w:rPr>
          <w:rStyle w:val="8"/>
          <w:rFonts w:ascii="仿宋_GB2312" w:eastAsia="仿宋_GB2312"/>
          <w:bCs/>
          <w:color w:val="auto"/>
          <w:sz w:val="32"/>
          <w:szCs w:val="32"/>
        </w:rPr>
      </w:pPr>
      <w:r>
        <w:rPr>
          <w:rStyle w:val="8"/>
          <w:rFonts w:hint="eastAsia" w:ascii="仿宋_GB2312" w:eastAsia="仿宋_GB2312"/>
          <w:bCs/>
          <w:color w:val="auto"/>
          <w:sz w:val="32"/>
          <w:szCs w:val="32"/>
        </w:rPr>
        <w:t>三、起草过程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color w:val="3D3D3D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年10月开始由市农业农村局起草，形成初稿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后和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局各科室、中心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讨论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，</w:t>
      </w:r>
      <w:r>
        <w:rPr>
          <w:rFonts w:hint="eastAsia" w:ascii="仿宋_GB2312" w:eastAsia="仿宋_GB2312" w:cs="Times New Roman"/>
          <w:color w:val="3D3D3D"/>
          <w:sz w:val="32"/>
          <w:szCs w:val="32"/>
          <w:lang w:val="en-US" w:eastAsia="zh-CN"/>
        </w:rPr>
        <w:t>确定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有机肥补助380/吨补助标准测算依据：1、参考周边县市婺城区380元补助。2、每吨有机肥补助核算：收集费 30元/吨 ，运输费30元/吨</w:t>
      </w:r>
      <w:r>
        <w:rPr>
          <w:rFonts w:hint="eastAsia" w:ascii="仿宋_GB2312" w:eastAsia="仿宋_GB2312" w:cs="Times New Roman"/>
          <w:color w:val="3D3D3D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按3吨</w:t>
      </w:r>
      <w:r>
        <w:rPr>
          <w:rFonts w:hint="eastAsia" w:ascii="仿宋_GB2312" w:eastAsia="仿宋_GB2312" w:cs="Times New Roman"/>
          <w:color w:val="3D3D3D"/>
          <w:sz w:val="32"/>
          <w:szCs w:val="32"/>
          <w:lang w:val="en-US" w:eastAsia="zh-CN"/>
        </w:rPr>
        <w:t>粪污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生产1吨有机肥，应补180元，有机肥配送1吨，应补助30元，有机肥使用补助120元/吨。有机肥生产环节补助30元/吨。180+30+120+30=380元</w:t>
      </w:r>
      <w:r>
        <w:rPr>
          <w:rFonts w:hint="eastAsia" w:ascii="仿宋_GB2312" w:eastAsia="仿宋_GB2312" w:cs="Times New Roman"/>
          <w:color w:val="3D3D3D"/>
          <w:sz w:val="32"/>
          <w:szCs w:val="32"/>
          <w:lang w:eastAsia="zh-CN"/>
        </w:rPr>
        <w:t>。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2021年12月29日至2022年1月7日通过市政府门户网站公开征求社会公众意见，未收到意见建议；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经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由局机关法制机构进行合法性审核，本文件无违法情况。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color w:val="3D3D3D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年1月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日提交局党委会议集体审议通过；202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年1月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21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日由局机关主要负责人赵庆鸿签署后正式发文。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3" w:firstLineChars="200"/>
        <w:rPr>
          <w:rFonts w:ascii="仿宋_GB2312" w:eastAsia="仿宋_GB2312"/>
          <w:color w:val="3D3D3D"/>
          <w:sz w:val="32"/>
          <w:szCs w:val="32"/>
        </w:rPr>
      </w:pPr>
      <w:r>
        <w:rPr>
          <w:rStyle w:val="8"/>
          <w:rFonts w:hint="eastAsia" w:ascii="仿宋_GB2312" w:eastAsia="仿宋_GB2312"/>
          <w:bCs/>
          <w:color w:val="3D3D3D"/>
          <w:sz w:val="32"/>
          <w:szCs w:val="32"/>
        </w:rPr>
        <w:t>四、政策主要内容</w:t>
      </w:r>
    </w:p>
    <w:p>
      <w:pPr>
        <w:shd w:val="clear" w:color="auto" w:fill="FFFFFF"/>
        <w:adjustRightInd w:val="0"/>
        <w:snapToGrid w:val="0"/>
        <w:spacing w:line="360" w:lineRule="auto"/>
        <w:ind w:firstLine="640" w:firstLineChars="200"/>
        <w:rPr>
          <w:rFonts w:hint="default" w:ascii="仿宋_GB2312" w:hAnsi="Times New Roman" w:eastAsia="仿宋_GB2312" w:cs="Times New Roman"/>
          <w:color w:val="3D3D3D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（一）开展试验监测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开展试验示范、质量监管、培训宣传等工作。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委托农业相关科研机构及农业部门推广机构落实农户施肥调查50户以上，按照产业不同建成试验示范3个，并按要求落实20个以上监测点；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对规模养殖场发酵罐、零排放发酵等粪渣、粪肥还田做好施肥调查和效果监测，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并开展质量监管、培训宣传、绩效考核，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开展主要为绿色种养循环技术为主农业技术培训，设立标识标牌（3块以上），按照3.5*6平方米规格设立，宣传推广好试点成果。</w:t>
      </w:r>
    </w:p>
    <w:p>
      <w:pPr>
        <w:shd w:val="clear" w:color="auto" w:fill="FFFFFF"/>
        <w:adjustRightInd w:val="0"/>
        <w:snapToGrid w:val="0"/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（二）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完善沼液服务机制、有效解决沼液异地运输。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、适用对象：现已有沼液抽排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运输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车辆的单位或个人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color w:val="3D3D3D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、收集范围和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工作要求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收集运输范围。沼液服务站的沼液抽排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运输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车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或个人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以运输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本市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规模猪场的沼液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）沼液服务站。采用GPS监控，经养猪场、使用沼液企业（个人）和服务站三方签字认可，凭三方签字台账审核认可。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color w:val="3D3D3D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种养企业自有车辆自运自用沼液不享受财政补助。</w:t>
      </w:r>
    </w:p>
    <w:p>
      <w:pPr>
        <w:shd w:val="clear" w:color="auto" w:fill="FFFFFF"/>
        <w:adjustRightInd w:val="0"/>
        <w:snapToGrid w:val="0"/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三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）</w:t>
      </w:r>
      <w:r>
        <w:rPr>
          <w:rFonts w:hint="default" w:ascii="仿宋_GB2312" w:hAnsi="Times New Roman" w:eastAsia="仿宋_GB2312" w:cs="Times New Roman"/>
          <w:color w:val="3D3D3D"/>
          <w:sz w:val="32"/>
          <w:szCs w:val="32"/>
          <w:lang w:eastAsia="zh-CN"/>
        </w:rPr>
        <w:t>建设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兰溪市农村沼气安全运维数字化服务系统。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开展农村沼气安全运维数字化服务系统建设。通过四大场景应用有效解决农村三沼安全运维问题，为养殖场、规模种植主体、农村沼气用户提供服务便利。</w:t>
      </w:r>
    </w:p>
    <w:p>
      <w:pPr>
        <w:shd w:val="clear" w:color="auto" w:fill="FFFFFF"/>
        <w:adjustRightInd w:val="0"/>
        <w:snapToGrid w:val="0"/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四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）粪肥收集、有机肥使用补助及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市养殖场发酵罐、发酵床的粪肥产品使用、运输补助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1、适用对象为经过注册登记，营业执照、肥料登记证等齐全的相关关企业、农业合作社等，使用兰溪市本地畜禽排泄物为主要原材料。销售对象为兰溪市范围内规模大户、农户及合作社等种植主体。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2、补助标准：（1）粪肥收集、有机肥补助，补助有机肥生产单位380元/吨，以销售的商品有机肥数量计。（2）对应用我市养殖场发酵罐、发酵床的粪肥产品的种植业合作社等主体，经申请审核，根据产品数量补助120元/吨、运输补助30元/吨。</w:t>
      </w:r>
    </w:p>
    <w:p>
      <w:pPr>
        <w:shd w:val="clear" w:color="auto" w:fill="FFFFFF"/>
        <w:adjustRightInd w:val="0"/>
        <w:snapToGrid w:val="0"/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3、工作要求：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（1）填写兰溪市补贴商品有机肥供肥备案表（一年一备案），并提供肥料登记证号、原料来源证明、唯一备案价格、质检报告、联系方式等资料，向兰溪市农业农村局报备。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（2）签订粪污收集协议及做好生产记录。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供肥企业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与兰溪市市内养殖企业签订粪污收集协议。按照实际收集时间数量填写好记录档案。为方便审核，附车辆到运输收集点（养殖场）和车辆运输到生产点带经纬度及时间的照片各一张（推荐使用元道经纬相机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APP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）。每批次产品应做好产品生产记录备查。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）规范供应程序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color w:val="3D3D3D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凡需购买商品有机肥的主体，填写《兰溪市财政补助商品有机肥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（粪肥、沤肥）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购置申请表》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向所在镇（乡）、街道提出申请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所在镇（乡）、街道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按照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单个主体单次购买不得超过50吨，每亩用量每年不超过两吨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；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不得用于水产养殖和占用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永久基本农田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发展林果业等法律法规明确禁止的农业生产经营活动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；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当年享受新增耕地后续管护补助资金的，不得申请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等要求进行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审核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并填写承诺书，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所在镇（乡）、街道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盖章同意后，农业农村局在申请表上出具意见。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购肥主体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与供肥企业签订销售协议，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将自付部分肥料款付到供肥企业。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由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供肥企业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送货到合同指定地点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。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供肥企业按照实际发货时间数量填写好记录档案。为方便审核，供肥企业应配备、配足安装有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GPS的运输车辆，实际配送时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附车辆出场，送货到达地带经纬度及时间的照片各一张（推荐使用元道经纬相机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APP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）。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吨以下有机肥销售可在乡镇设集中发货点，由乡镇审核后提供《兰溪市绿色种养项目补贴清册》予以认定。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有机肥必须经过浙江省肥料登记许可，质量符合《有机肥料》（NY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/T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525-20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21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）标准。在商品有机肥供应期间每50吨由供肥企业至少随机抽取一个样品并保存，以备质量核查；每500吨左右由市耕地质量与肥料推广中心、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市畜牧农机渔业发展中心、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市农业综合行政执法队与供肥企业一起在现场随机抽取样品三份，一份送有资质的第三方检测机构检测，费用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由项目试验监测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资金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内支付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，另外两份分别由市耕地质量与肥料推广中心和供肥企业保存，以备质量核查。肥料检测结果作为补贴资金结算的依据，如连续两个批次肥料养分、pH、水分等指标检测结果不合格或一次重金属超标，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取消前一个批次的补助，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供肥企业应做好产品施肥技术培训与指导，对种植户开展施肥社会化服务。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对应用我市养殖场发酵罐、发酵床的粪肥产品的种植业合作社等主体，采取检测后一次出货法，对肥料中的砷、汞、铅、铬、镉、粪大肠菌群数、蛔虫卵死亡率等限量指标应符合《有机肥料》（NY/T525-2021）要求。由养殖场通知所在地乡镇街道办事处、农业农村局，并确定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填写《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兰溪市财政补助商品有机肥（粪肥、沤肥）购置申请表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》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，按照实际数量核定补助。</w:t>
      </w:r>
    </w:p>
    <w:p>
      <w:pPr>
        <w:shd w:val="clear" w:color="auto" w:fill="FFFFFF"/>
        <w:adjustRightInd w:val="0"/>
        <w:snapToGrid w:val="0"/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3D3D3D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4、资料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收集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审核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）每月结束，供肥企业按照合同、送货情况报送销售清册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农业农村局将主要参照生产记录、销售档案及收集档案、销售发票、资金来往、相关照片及销售协议等方面进行审核，并建立财政补贴商品有机肥补贴清册，审核无误经公示后，汇总报财政核拨补助。</w:t>
      </w:r>
    </w:p>
    <w:p>
      <w:pPr>
        <w:shd w:val="clear" w:color="auto" w:fill="FFFFFF"/>
        <w:adjustRightInd w:val="0"/>
        <w:snapToGrid w:val="0"/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</w:rPr>
        <w:t>申报时间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：</w:t>
      </w:r>
    </w:p>
    <w:p>
      <w:pPr>
        <w:shd w:val="clear" w:color="auto" w:fill="FFFFFF"/>
        <w:adjustRightInd w:val="0"/>
        <w:snapToGrid w:val="0"/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按月申报（月底前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3天申报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）、按季度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结算。</w:t>
      </w:r>
    </w:p>
    <w:p>
      <w:pPr>
        <w:shd w:val="clear" w:color="auto" w:fill="FFFFFF"/>
        <w:adjustRightInd w:val="0"/>
        <w:snapToGrid w:val="0"/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（四）监督抽查及审计审核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1、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由农业农村局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委托有资质第三方对项目实施全过程粪污收集、有机肥销售及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eastAsia="zh-CN"/>
        </w:rPr>
        <w:t>沼液运输补助</w:t>
      </w: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实际使用情况进行监管，并对补贴额进行审定。</w:t>
      </w:r>
    </w:p>
    <w:p>
      <w:pPr>
        <w:shd w:val="clear" w:color="auto" w:fill="FFFFFF"/>
        <w:adjustRightInd w:val="0"/>
        <w:snapToGrid w:val="0"/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2、农业农村局根据工作要求加强现场核查。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default" w:ascii="仿宋_GB2312" w:hAnsi="Times New Roman" w:eastAsia="仿宋_GB2312" w:cs="Times New Roman"/>
          <w:color w:val="3D3D3D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3D3D3D"/>
          <w:sz w:val="32"/>
          <w:szCs w:val="32"/>
          <w:lang w:val="en-US" w:eastAsia="zh-CN"/>
        </w:rPr>
        <w:t>3、对有虚报骗取的行为，予以纠正。视情节采取不予补助、暂停供（购）货资格处理，涉及犯罪情节的移送司法机关处理。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3" w:firstLineChars="200"/>
        <w:rPr>
          <w:rStyle w:val="8"/>
          <w:rFonts w:ascii="仿宋_GB2312" w:eastAsia="仿宋_GB2312"/>
          <w:bCs/>
          <w:color w:val="3D3D3D"/>
          <w:sz w:val="32"/>
          <w:szCs w:val="32"/>
        </w:rPr>
      </w:pPr>
      <w:r>
        <w:rPr>
          <w:rStyle w:val="8"/>
          <w:rFonts w:hint="eastAsia" w:ascii="仿宋_GB2312" w:eastAsia="仿宋_GB2312"/>
          <w:bCs/>
          <w:color w:val="3D3D3D"/>
          <w:sz w:val="32"/>
          <w:szCs w:val="32"/>
        </w:rPr>
        <w:t>五、适用范围及有效期说明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ascii="仿宋_GB2312" w:eastAsia="仿宋_GB2312"/>
          <w:color w:val="3D3D3D"/>
          <w:sz w:val="32"/>
          <w:szCs w:val="32"/>
        </w:rPr>
      </w:pPr>
      <w:r>
        <w:rPr>
          <w:rFonts w:hint="eastAsia" w:ascii="仿宋_GB2312" w:eastAsia="仿宋_GB2312"/>
          <w:color w:val="3D3D3D"/>
          <w:sz w:val="32"/>
          <w:szCs w:val="32"/>
        </w:rPr>
        <w:t>本方案为兰溪市农业农村局、兰溪市财政局依据</w:t>
      </w:r>
      <w:r>
        <w:rPr>
          <w:rFonts w:hint="eastAsia" w:ascii="仿宋_GB2312" w:eastAsia="仿宋_GB2312"/>
          <w:color w:val="3D3D3D"/>
          <w:sz w:val="32"/>
          <w:szCs w:val="32"/>
          <w:lang w:eastAsia="zh-CN"/>
        </w:rPr>
        <w:t>《农业农村部办公厅</w:t>
      </w:r>
      <w:r>
        <w:rPr>
          <w:rFonts w:hint="eastAsia" w:ascii="仿宋_GB2312" w:eastAsia="仿宋_GB2312"/>
          <w:color w:val="3D3D3D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3D3D3D"/>
          <w:sz w:val="32"/>
          <w:szCs w:val="32"/>
          <w:lang w:eastAsia="zh-CN"/>
        </w:rPr>
        <w:t>财政部办公厅关于开展绿色种养循环农业试点工作的通知》（农办农〔</w:t>
      </w:r>
      <w:r>
        <w:rPr>
          <w:rFonts w:hint="eastAsia" w:ascii="仿宋_GB2312" w:eastAsia="仿宋_GB2312"/>
          <w:color w:val="3D3D3D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color w:val="3D3D3D"/>
          <w:sz w:val="32"/>
          <w:szCs w:val="32"/>
          <w:lang w:eastAsia="zh-CN"/>
        </w:rPr>
        <w:t>〕</w:t>
      </w:r>
      <w:r>
        <w:rPr>
          <w:rFonts w:hint="eastAsia" w:ascii="仿宋_GB2312" w:eastAsia="仿宋_GB2312"/>
          <w:color w:val="3D3D3D"/>
          <w:sz w:val="32"/>
          <w:szCs w:val="32"/>
          <w:lang w:val="en-US" w:eastAsia="zh-CN"/>
        </w:rPr>
        <w:t>10号）和</w:t>
      </w:r>
      <w:r>
        <w:rPr>
          <w:rFonts w:hint="eastAsia" w:ascii="仿宋_GB2312" w:eastAsia="仿宋_GB2312"/>
          <w:color w:val="3D3D3D"/>
          <w:sz w:val="32"/>
          <w:szCs w:val="32"/>
          <w:lang w:eastAsia="zh-CN"/>
        </w:rPr>
        <w:t>《浙江省农业农村厅</w:t>
      </w:r>
      <w:r>
        <w:rPr>
          <w:rFonts w:hint="eastAsia" w:ascii="仿宋_GB2312" w:eastAsia="仿宋_GB2312"/>
          <w:color w:val="3D3D3D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3D3D3D"/>
          <w:sz w:val="32"/>
          <w:szCs w:val="32"/>
          <w:lang w:eastAsia="zh-CN"/>
        </w:rPr>
        <w:t>浙江省财政厅关于下达</w:t>
      </w:r>
      <w:r>
        <w:rPr>
          <w:rFonts w:hint="eastAsia" w:ascii="仿宋_GB2312" w:eastAsia="仿宋_GB2312"/>
          <w:color w:val="3D3D3D"/>
          <w:sz w:val="32"/>
          <w:szCs w:val="32"/>
          <w:lang w:val="en-US" w:eastAsia="zh-CN"/>
        </w:rPr>
        <w:t>2021年第二批中央农业生产发展等专业资金任务清单的通知</w:t>
      </w:r>
      <w:r>
        <w:rPr>
          <w:rFonts w:hint="eastAsia" w:ascii="仿宋_GB2312" w:eastAsia="仿宋_GB2312"/>
          <w:color w:val="3D3D3D"/>
          <w:sz w:val="32"/>
          <w:szCs w:val="32"/>
          <w:lang w:eastAsia="zh-CN"/>
        </w:rPr>
        <w:t>》（浙农计发〔</w:t>
      </w:r>
      <w:r>
        <w:rPr>
          <w:rFonts w:hint="eastAsia" w:ascii="仿宋_GB2312" w:eastAsia="仿宋_GB2312"/>
          <w:color w:val="3D3D3D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color w:val="3D3D3D"/>
          <w:sz w:val="32"/>
          <w:szCs w:val="32"/>
          <w:lang w:eastAsia="zh-CN"/>
        </w:rPr>
        <w:t>〕</w:t>
      </w:r>
      <w:r>
        <w:rPr>
          <w:rFonts w:hint="eastAsia" w:ascii="仿宋_GB2312" w:eastAsia="仿宋_GB2312"/>
          <w:color w:val="3D3D3D"/>
          <w:sz w:val="32"/>
          <w:szCs w:val="32"/>
          <w:lang w:val="en-US" w:eastAsia="zh-CN"/>
        </w:rPr>
        <w:t>19号）</w:t>
      </w:r>
      <w:r>
        <w:rPr>
          <w:rFonts w:hint="eastAsia" w:ascii="仿宋_GB2312" w:eastAsia="仿宋_GB2312"/>
          <w:color w:val="3D3D3D"/>
          <w:sz w:val="32"/>
          <w:szCs w:val="32"/>
        </w:rPr>
        <w:t>，结合</w:t>
      </w:r>
      <w:r>
        <w:rPr>
          <w:rFonts w:ascii="仿宋_GB2312" w:eastAsia="仿宋_GB2312"/>
          <w:color w:val="3D3D3D"/>
          <w:sz w:val="32"/>
          <w:szCs w:val="32"/>
        </w:rPr>
        <w:t>本市</w:t>
      </w:r>
      <w:r>
        <w:rPr>
          <w:rFonts w:hint="eastAsia" w:ascii="仿宋_GB2312" w:eastAsia="仿宋_GB2312"/>
          <w:color w:val="3D3D3D"/>
          <w:sz w:val="32"/>
          <w:szCs w:val="32"/>
        </w:rPr>
        <w:t>实际情况出台制定的市域实施方案。本方案自202</w:t>
      </w:r>
      <w:r>
        <w:rPr>
          <w:rFonts w:hint="eastAsia" w:ascii="仿宋_GB2312" w:eastAsia="仿宋_GB2312"/>
          <w:color w:val="3D3D3D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3D3D3D"/>
          <w:sz w:val="32"/>
          <w:szCs w:val="32"/>
        </w:rPr>
        <w:t>年</w:t>
      </w:r>
      <w:r>
        <w:rPr>
          <w:rFonts w:hint="eastAsia" w:ascii="仿宋_GB2312" w:eastAsia="仿宋_GB2312"/>
          <w:color w:val="3D3D3D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3D3D3D"/>
          <w:sz w:val="32"/>
          <w:szCs w:val="32"/>
        </w:rPr>
        <w:t>月</w:t>
      </w:r>
      <w:r>
        <w:rPr>
          <w:rFonts w:hint="eastAsia" w:ascii="仿宋_GB2312" w:eastAsia="仿宋_GB2312"/>
          <w:color w:val="3D3D3D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3D3D3D"/>
          <w:sz w:val="32"/>
          <w:szCs w:val="32"/>
        </w:rPr>
        <w:t>1日</w:t>
      </w:r>
      <w:r>
        <w:rPr>
          <w:rFonts w:ascii="仿宋_GB2312" w:eastAsia="仿宋_GB2312"/>
          <w:color w:val="3D3D3D"/>
          <w:sz w:val="32"/>
          <w:szCs w:val="32"/>
        </w:rPr>
        <w:t>开始</w:t>
      </w:r>
      <w:r>
        <w:rPr>
          <w:rFonts w:hint="eastAsia" w:ascii="仿宋_GB2312" w:eastAsia="仿宋_GB2312"/>
          <w:color w:val="3D3D3D"/>
          <w:sz w:val="32"/>
          <w:szCs w:val="32"/>
        </w:rPr>
        <w:t>实施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color w:val="3D3D3D"/>
          <w:sz w:val="32"/>
          <w:szCs w:val="32"/>
        </w:rPr>
        <w:t>本方案所涉及的补贴政策起算时间为202</w:t>
      </w:r>
      <w:r>
        <w:rPr>
          <w:rFonts w:hint="eastAsia" w:ascii="仿宋_GB2312" w:eastAsia="仿宋_GB2312"/>
          <w:color w:val="3D3D3D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3D3D3D"/>
          <w:sz w:val="32"/>
          <w:szCs w:val="32"/>
        </w:rPr>
        <w:t>年1月1日。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3" w:firstLineChars="200"/>
        <w:rPr>
          <w:rFonts w:ascii="仿宋_GB2312" w:eastAsia="仿宋_GB2312"/>
          <w:color w:val="3D3D3D"/>
          <w:sz w:val="32"/>
          <w:szCs w:val="32"/>
        </w:rPr>
      </w:pPr>
      <w:r>
        <w:rPr>
          <w:rStyle w:val="8"/>
          <w:rFonts w:hint="eastAsia" w:ascii="仿宋_GB2312" w:eastAsia="仿宋_GB2312"/>
          <w:bCs/>
          <w:color w:val="3D3D3D"/>
          <w:sz w:val="32"/>
          <w:szCs w:val="32"/>
        </w:rPr>
        <w:t>六、起草机关、起草人及联系方式</w:t>
      </w:r>
    </w:p>
    <w:p>
      <w:pPr>
        <w:shd w:val="clear" w:color="auto" w:fill="FFFFFF"/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color w:val="3D3D3D"/>
          <w:sz w:val="32"/>
          <w:szCs w:val="32"/>
        </w:rPr>
      </w:pPr>
      <w:r>
        <w:rPr>
          <w:rFonts w:hint="eastAsia" w:ascii="仿宋_GB2312" w:eastAsia="仿宋_GB2312"/>
          <w:color w:val="3D3D3D"/>
          <w:sz w:val="32"/>
          <w:szCs w:val="32"/>
        </w:rPr>
        <w:t>起草机关：兰溪市农业农村局</w:t>
      </w:r>
    </w:p>
    <w:p>
      <w:pPr>
        <w:shd w:val="clear" w:color="auto" w:fill="FFFFFF"/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color w:val="3D3D3D"/>
          <w:sz w:val="32"/>
          <w:szCs w:val="32"/>
        </w:rPr>
      </w:pPr>
      <w:r>
        <w:rPr>
          <w:rFonts w:hint="eastAsia" w:ascii="仿宋_GB2312" w:eastAsia="仿宋_GB2312"/>
          <w:color w:val="3D3D3D"/>
          <w:sz w:val="32"/>
          <w:szCs w:val="32"/>
        </w:rPr>
        <w:t>起草人：祝朝辉</w:t>
      </w:r>
    </w:p>
    <w:p>
      <w:pPr>
        <w:shd w:val="clear" w:color="auto" w:fill="FFFFFF"/>
        <w:adjustRightInd w:val="0"/>
        <w:snapToGrid w:val="0"/>
        <w:spacing w:line="360" w:lineRule="auto"/>
        <w:ind w:firstLine="640" w:firstLineChars="200"/>
      </w:pPr>
      <w:r>
        <w:rPr>
          <w:rFonts w:hint="eastAsia" w:ascii="仿宋_GB2312" w:eastAsia="仿宋_GB2312"/>
          <w:color w:val="3D3D3D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</w:rPr>
        <w:t>0579-8889</w:t>
      </w:r>
      <w:r>
        <w:rPr>
          <w:rFonts w:ascii="仿宋_GB2312" w:eastAsia="仿宋_GB2312"/>
          <w:sz w:val="32"/>
          <w:szCs w:val="32"/>
        </w:rPr>
        <w:t>3511</w:t>
      </w:r>
    </w:p>
    <w:sectPr>
      <w:pgSz w:w="11907" w:h="16839"/>
      <w:pgMar w:top="1440" w:right="1800" w:bottom="1440" w:left="180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D3490"/>
    <w:rsid w:val="00182C63"/>
    <w:rsid w:val="002D3490"/>
    <w:rsid w:val="00E65DDD"/>
    <w:rsid w:val="2D4F1C51"/>
    <w:rsid w:val="39DA1BF6"/>
    <w:rsid w:val="46A951F9"/>
    <w:rsid w:val="5A9552DA"/>
    <w:rsid w:val="5E38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</w:pPr>
    <w:rPr>
      <w:kern w:val="0"/>
    </w:rPr>
  </w:style>
  <w:style w:type="character" w:styleId="8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288</Words>
  <Characters>1645</Characters>
  <Lines>13</Lines>
  <Paragraphs>3</Paragraphs>
  <TotalTime>260</TotalTime>
  <ScaleCrop>false</ScaleCrop>
  <LinksUpToDate>false</LinksUpToDate>
  <CharactersWithSpaces>1930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2021-12-10T07:33:00Z</dcterms:created>
  <dc:creator>thtf06</dc:creator>
  <cp:lastModifiedBy>张彦</cp:lastModifiedBy>
  <dcterms:modified xsi:type="dcterms:W3CDTF">2022-01-27T02:15:49Z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9de5c22aa73846f8ad14e06c8f80cc9e</vt:lpwstr>
  </property>
  <property fmtid="{D5CDD505-2E9C-101B-9397-08002B2CF9AE}" pid="3" name="KSOProductBuildVer">
    <vt:lpwstr>2052-11.1.0.11294</vt:lpwstr>
  </property>
</Properties>
</file>