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01" w:rsidRDefault="003F4625">
      <w:pPr>
        <w:spacing w:line="300" w:lineRule="auto"/>
        <w:rPr>
          <w:rFonts w:ascii="黑体" w:eastAsia="黑体" w:hAnsi="黑体" w:cs="黑体"/>
          <w:spacing w:val="15"/>
          <w:sz w:val="32"/>
          <w:szCs w:val="32"/>
        </w:rPr>
      </w:pPr>
      <w:r>
        <w:rPr>
          <w:rFonts w:ascii="黑体" w:eastAsia="黑体" w:hAnsi="黑体" w:cs="黑体" w:hint="eastAsia"/>
          <w:spacing w:val="15"/>
          <w:sz w:val="32"/>
          <w:szCs w:val="32"/>
        </w:rPr>
        <w:t>附件1：</w:t>
      </w:r>
    </w:p>
    <w:p w:rsidR="00FA3701" w:rsidRDefault="00FA3701">
      <w:pPr>
        <w:spacing w:line="560" w:lineRule="exact"/>
        <w:rPr>
          <w:rFonts w:ascii="仿宋_GB2312" w:eastAsia="仿宋_GB2312" w:hAnsi="仿宋_GB2312" w:cs="仿宋_GB2312"/>
          <w:bCs/>
          <w:spacing w:val="15"/>
          <w:sz w:val="32"/>
          <w:szCs w:val="32"/>
        </w:rPr>
      </w:pPr>
    </w:p>
    <w:p w:rsidR="00FA3701" w:rsidRDefault="00FA3701">
      <w:pPr>
        <w:spacing w:line="560" w:lineRule="exact"/>
        <w:jc w:val="center"/>
        <w:rPr>
          <w:rFonts w:ascii="方正小标宋简体" w:eastAsia="方正小标宋简体" w:hAnsi="方正小标宋简体" w:cs="方正小标宋简体"/>
          <w:b/>
          <w:spacing w:val="15"/>
          <w:sz w:val="44"/>
          <w:szCs w:val="44"/>
        </w:rPr>
      </w:pPr>
    </w:p>
    <w:p w:rsidR="00FA3701" w:rsidRDefault="00FA3701">
      <w:pPr>
        <w:spacing w:line="560" w:lineRule="exact"/>
        <w:jc w:val="center"/>
        <w:rPr>
          <w:rFonts w:ascii="方正小标宋简体" w:eastAsia="方正小标宋简体" w:hAnsi="方正小标宋简体" w:cs="方正小标宋简体"/>
          <w:b/>
          <w:spacing w:val="15"/>
          <w:sz w:val="44"/>
          <w:szCs w:val="44"/>
        </w:rPr>
      </w:pPr>
    </w:p>
    <w:p w:rsidR="00FA3701" w:rsidRDefault="00FA3701">
      <w:pPr>
        <w:spacing w:line="560" w:lineRule="exact"/>
        <w:jc w:val="center"/>
        <w:rPr>
          <w:rFonts w:ascii="方正小标宋简体" w:eastAsia="方正小标宋简体" w:hAnsi="方正小标宋简体" w:cs="方正小标宋简体"/>
          <w:b/>
          <w:spacing w:val="15"/>
          <w:sz w:val="44"/>
          <w:szCs w:val="44"/>
        </w:rPr>
      </w:pPr>
    </w:p>
    <w:p w:rsidR="00FA3701" w:rsidRDefault="00FA3701">
      <w:pPr>
        <w:spacing w:line="560" w:lineRule="exact"/>
        <w:jc w:val="center"/>
        <w:rPr>
          <w:rFonts w:ascii="方正小标宋简体" w:eastAsia="方正小标宋简体" w:hAnsi="方正小标宋简体" w:cs="方正小标宋简体"/>
          <w:b/>
          <w:spacing w:val="15"/>
          <w:sz w:val="44"/>
          <w:szCs w:val="44"/>
        </w:rPr>
      </w:pPr>
    </w:p>
    <w:p w:rsidR="00FA3701" w:rsidRDefault="00FA3701">
      <w:pPr>
        <w:spacing w:line="560" w:lineRule="exact"/>
        <w:jc w:val="center"/>
        <w:rPr>
          <w:rFonts w:ascii="方正小标宋简体" w:eastAsia="方正小标宋简体" w:hAnsi="方正小标宋简体" w:cs="方正小标宋简体"/>
          <w:b/>
          <w:spacing w:val="15"/>
          <w:sz w:val="44"/>
          <w:szCs w:val="44"/>
        </w:rPr>
      </w:pPr>
    </w:p>
    <w:p w:rsidR="00FA3701" w:rsidRDefault="003F4625">
      <w:pPr>
        <w:spacing w:line="560" w:lineRule="exact"/>
        <w:jc w:val="center"/>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兰溪市征收管理处2022年部门预算</w:t>
      </w: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pStyle w:val="Default"/>
        <w:rPr>
          <w:rFonts w:ascii="方正小标宋简体" w:eastAsia="方正小标宋简体" w:hAnsi="方正小标宋简体" w:cs="方正小标宋简体" w:hint="default"/>
          <w:b/>
          <w:spacing w:val="15"/>
          <w:sz w:val="44"/>
          <w:szCs w:val="44"/>
        </w:rPr>
      </w:pPr>
    </w:p>
    <w:p w:rsidR="00FA3701" w:rsidRDefault="00FA3701">
      <w:pPr>
        <w:overflowPunct/>
        <w:autoSpaceDE/>
        <w:autoSpaceDN/>
        <w:adjustRightInd/>
        <w:spacing w:line="560" w:lineRule="exact"/>
        <w:textAlignment w:val="auto"/>
        <w:rPr>
          <w:rStyle w:val="a5"/>
          <w:rFonts w:ascii="仿宋_GB2312" w:eastAsia="仿宋_GB2312" w:hAnsi="仿宋_GB2312" w:cs="仿宋_GB2312"/>
          <w:color w:val="000000"/>
          <w:sz w:val="32"/>
          <w:szCs w:val="32"/>
        </w:rPr>
      </w:pPr>
    </w:p>
    <w:p w:rsidR="00FA3701" w:rsidRDefault="00FA3701">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FA3701" w:rsidRDefault="003F4625">
      <w:pPr>
        <w:overflowPunct/>
        <w:autoSpaceDE/>
        <w:autoSpaceDN/>
        <w:adjustRightInd/>
        <w:spacing w:line="520" w:lineRule="exact"/>
        <w:ind w:firstLineChars="196" w:firstLine="627"/>
        <w:jc w:val="center"/>
        <w:textAlignment w:val="auto"/>
        <w:rPr>
          <w:rStyle w:val="a5"/>
          <w:rFonts w:ascii="黑体" w:eastAsia="黑体"/>
          <w:b w:val="0"/>
          <w:color w:val="000000"/>
          <w:sz w:val="32"/>
          <w:szCs w:val="32"/>
        </w:rPr>
      </w:pPr>
      <w:r>
        <w:rPr>
          <w:rStyle w:val="a5"/>
          <w:rFonts w:ascii="黑体" w:eastAsia="黑体" w:hint="eastAsia"/>
          <w:b w:val="0"/>
          <w:color w:val="000000"/>
          <w:sz w:val="32"/>
          <w:szCs w:val="32"/>
        </w:rPr>
        <w:lastRenderedPageBreak/>
        <w:t>目录</w:t>
      </w:r>
    </w:p>
    <w:p w:rsidR="00FA3701" w:rsidRDefault="003F4625">
      <w:pPr>
        <w:overflowPunct/>
        <w:autoSpaceDE/>
        <w:autoSpaceDN/>
        <w:adjustRightInd/>
        <w:spacing w:line="520" w:lineRule="exact"/>
        <w:textAlignment w:val="auto"/>
        <w:rPr>
          <w:rFonts w:ascii="Times New Roman" w:eastAsia="黑体" w:hAnsi="Times New Roman"/>
          <w:sz w:val="32"/>
        </w:rPr>
      </w:pPr>
      <w:r>
        <w:rPr>
          <w:rFonts w:ascii="黑体" w:eastAsia="黑体" w:hint="eastAsia"/>
          <w:color w:val="000000"/>
          <w:sz w:val="32"/>
        </w:rPr>
        <w:t>一、</w:t>
      </w:r>
      <w:r>
        <w:rPr>
          <w:rStyle w:val="a5"/>
          <w:rFonts w:ascii="黑体" w:eastAsia="黑体" w:hint="eastAsia"/>
          <w:b w:val="0"/>
          <w:color w:val="000000"/>
          <w:sz w:val="32"/>
          <w:szCs w:val="32"/>
        </w:rPr>
        <w:t>部门（单位）概况</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（一）主要职能</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（二）部门（单位）机构设置情况</w:t>
      </w:r>
    </w:p>
    <w:p w:rsidR="00FA3701" w:rsidRDefault="003F4625">
      <w:pPr>
        <w:rPr>
          <w:rStyle w:val="a5"/>
          <w:b w:val="0"/>
          <w:bCs w:val="0"/>
        </w:rPr>
      </w:pPr>
      <w:r>
        <w:rPr>
          <w:rStyle w:val="a5"/>
          <w:rFonts w:ascii="黑体" w:eastAsia="黑体" w:hint="eastAsia"/>
          <w:b w:val="0"/>
          <w:color w:val="000000"/>
          <w:sz w:val="32"/>
          <w:szCs w:val="32"/>
        </w:rPr>
        <w:t>二、2022年部门预算安排情况说明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（一）关于兰溪市征收管理处2022年收支预算情况的总体说明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（二）关于兰溪市征收管理处2022年收入预算情况说明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（三）关于兰溪市征收管理处2022年支出预算情况说明</w:t>
      </w:r>
      <w:r>
        <w:rPr>
          <w:rFonts w:ascii="楷体_GB2312" w:eastAsia="楷体_GB2312" w:hAnsi="楷体_GB2312" w:cs="楷体_GB2312" w:hint="eastAsia"/>
          <w:bCs/>
          <w:sz w:val="32"/>
          <w:szCs w:val="32"/>
        </w:rPr>
        <w:br/>
        <w:t>（四）关于兰溪市征收管理处2022年财政拨款收支预算情况的总体说明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（五）关于兰溪市征收管理处2022年一般公共预算当年拨款情况说明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（六）关于兰溪市征收管理处2022年一般公共预算基本支出情况说明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（七）关于兰溪市征收管理处2022年政府性基金预算支出情况说明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（八）关于兰溪市征收管理处2022年国有资本经营预算支出情况说明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（九）关于兰溪市征收管理处2022年一般公共预算“三公”经费预算情况说明</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（十）其他重要事项的情况说明</w:t>
      </w:r>
    </w:p>
    <w:p w:rsidR="00FA3701" w:rsidRDefault="003F4625">
      <w:pPr>
        <w:pStyle w:val="p0"/>
        <w:overflowPunct/>
        <w:autoSpaceDE/>
        <w:autoSpaceDN/>
        <w:adjustRightInd/>
        <w:spacing w:line="520" w:lineRule="exact"/>
        <w:textAlignment w:val="auto"/>
        <w:rPr>
          <w:rStyle w:val="a5"/>
          <w:rFonts w:ascii="黑体" w:eastAsia="黑体"/>
          <w:b w:val="0"/>
          <w:color w:val="000000"/>
          <w:kern w:val="2"/>
          <w:sz w:val="32"/>
          <w:szCs w:val="32"/>
        </w:rPr>
      </w:pPr>
      <w:r>
        <w:rPr>
          <w:rStyle w:val="a5"/>
          <w:rFonts w:ascii="黑体" w:eastAsia="黑体" w:hint="eastAsia"/>
          <w:b w:val="0"/>
          <w:color w:val="000000"/>
          <w:kern w:val="2"/>
          <w:sz w:val="32"/>
          <w:szCs w:val="32"/>
        </w:rPr>
        <w:lastRenderedPageBreak/>
        <w:t>三、名词解释</w:t>
      </w:r>
    </w:p>
    <w:p w:rsidR="00FA3701" w:rsidRDefault="003F4625">
      <w:pPr>
        <w:overflowPunct/>
        <w:autoSpaceDE/>
        <w:autoSpaceDN/>
        <w:adjustRightInd/>
        <w:spacing w:line="520" w:lineRule="exact"/>
        <w:textAlignment w:val="auto"/>
        <w:rPr>
          <w:rStyle w:val="a5"/>
          <w:rFonts w:ascii="黑体" w:eastAsia="黑体"/>
          <w:b w:val="0"/>
          <w:color w:val="000000"/>
          <w:sz w:val="32"/>
          <w:szCs w:val="32"/>
        </w:rPr>
      </w:pPr>
      <w:r>
        <w:rPr>
          <w:rStyle w:val="a5"/>
          <w:rFonts w:ascii="黑体" w:eastAsia="黑体" w:hint="eastAsia"/>
          <w:b w:val="0"/>
          <w:color w:val="000000"/>
          <w:sz w:val="32"/>
          <w:szCs w:val="32"/>
        </w:rPr>
        <w:t>四、2022年</w:t>
      </w:r>
      <w:r w:rsidR="00A16625">
        <w:rPr>
          <w:rStyle w:val="a5"/>
          <w:rFonts w:ascii="黑体" w:eastAsia="黑体" w:hint="eastAsia"/>
          <w:b w:val="0"/>
          <w:color w:val="000000"/>
          <w:sz w:val="32"/>
          <w:szCs w:val="32"/>
        </w:rPr>
        <w:t>单位</w:t>
      </w:r>
      <w:r>
        <w:rPr>
          <w:rStyle w:val="a5"/>
          <w:rFonts w:ascii="黑体" w:eastAsia="黑体" w:hint="eastAsia"/>
          <w:b w:val="0"/>
          <w:color w:val="000000"/>
          <w:sz w:val="32"/>
          <w:szCs w:val="32"/>
        </w:rPr>
        <w:t>部门预算表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（一）2022年单位收支预算总表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（二）2022年</w:t>
      </w:r>
      <w:r w:rsidR="00A16625">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收入预算总表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（三）2022年</w:t>
      </w:r>
      <w:r w:rsidR="00A16625">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支出预算总表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（四）2022年</w:t>
      </w:r>
      <w:r w:rsidR="00A16625">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财政拨款收支预算总表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（五）2022年</w:t>
      </w:r>
      <w:r w:rsidR="00A16625">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一般公共预算支出表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（六）2022年单位一般公共预算基本支出表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（七）2022年单位一般公共预算“三公”经费支出表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（八）2022年单位政府性基金预算支出表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（九）2022年</w:t>
      </w:r>
      <w:r w:rsidR="00A16625">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国有资本经营预算支出表</w:t>
      </w:r>
    </w:p>
    <w:p w:rsidR="00FA3701" w:rsidRDefault="003F4625">
      <w:pPr>
        <w:ind w:leftChars="200" w:left="420"/>
        <w:jc w:val="lef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（十）2022年</w:t>
      </w:r>
      <w:r w:rsidR="00A16625">
        <w:rPr>
          <w:rFonts w:ascii="楷体_GB2312" w:eastAsia="楷体_GB2312" w:hAnsi="楷体_GB2312" w:cs="楷体_GB2312" w:hint="eastAsia"/>
          <w:bCs/>
          <w:sz w:val="32"/>
          <w:szCs w:val="32"/>
        </w:rPr>
        <w:t>单位</w:t>
      </w:r>
      <w:r>
        <w:rPr>
          <w:rFonts w:ascii="楷体_GB2312" w:eastAsia="楷体_GB2312" w:hAnsi="楷体_GB2312" w:cs="楷体_GB2312" w:hint="eastAsia"/>
          <w:bCs/>
          <w:sz w:val="32"/>
          <w:szCs w:val="32"/>
        </w:rPr>
        <w:t>项目支出预算表</w:t>
      </w:r>
    </w:p>
    <w:p w:rsidR="00FA3701" w:rsidRDefault="00FA3701">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FA3701" w:rsidRDefault="00FA3701">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FA3701" w:rsidRDefault="00FA3701">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p>
    <w:p w:rsidR="00FA3701" w:rsidRDefault="00FA3701">
      <w:pPr>
        <w:overflowPunct/>
        <w:autoSpaceDE/>
        <w:autoSpaceDN/>
        <w:adjustRightInd/>
        <w:spacing w:line="560" w:lineRule="exact"/>
        <w:ind w:firstLineChars="196" w:firstLine="630"/>
        <w:textAlignment w:val="auto"/>
        <w:rPr>
          <w:rStyle w:val="a5"/>
          <w:rFonts w:ascii="黑体" w:eastAsia="黑体" w:hAnsi="黑体" w:cs="黑体" w:hint="eastAsia"/>
          <w:bCs w:val="0"/>
          <w:color w:val="000000"/>
          <w:sz w:val="32"/>
          <w:szCs w:val="32"/>
        </w:rPr>
      </w:pPr>
    </w:p>
    <w:p w:rsidR="00A16625" w:rsidRDefault="00A16625" w:rsidP="00A16625">
      <w:pPr>
        <w:pStyle w:val="Default"/>
      </w:pPr>
    </w:p>
    <w:p w:rsidR="00A16625" w:rsidRPr="00A16625" w:rsidRDefault="00A16625" w:rsidP="00A16625">
      <w:pPr>
        <w:pStyle w:val="Default"/>
      </w:pPr>
      <w:bookmarkStart w:id="0" w:name="_GoBack"/>
      <w:bookmarkEnd w:id="0"/>
    </w:p>
    <w:p w:rsidR="00CF39F9" w:rsidRPr="00CF39F9" w:rsidRDefault="00CF39F9" w:rsidP="00CF39F9">
      <w:pPr>
        <w:pStyle w:val="Default"/>
        <w:rPr>
          <w:rFonts w:hint="default"/>
        </w:rPr>
      </w:pPr>
    </w:p>
    <w:p w:rsidR="00FA3701" w:rsidRDefault="00FA3701">
      <w:pPr>
        <w:pStyle w:val="Default"/>
        <w:rPr>
          <w:rStyle w:val="a5"/>
          <w:rFonts w:ascii="黑体" w:eastAsia="黑体" w:hAnsi="黑体" w:cs="黑体" w:hint="default"/>
          <w:bCs w:val="0"/>
          <w:sz w:val="32"/>
          <w:szCs w:val="32"/>
        </w:rPr>
      </w:pPr>
    </w:p>
    <w:p w:rsidR="00FA3701" w:rsidRDefault="00FA3701">
      <w:pPr>
        <w:overflowPunct/>
        <w:autoSpaceDE/>
        <w:autoSpaceDN/>
        <w:adjustRightInd/>
        <w:spacing w:line="560" w:lineRule="exact"/>
        <w:textAlignment w:val="auto"/>
        <w:rPr>
          <w:rStyle w:val="a5"/>
          <w:rFonts w:ascii="黑体" w:eastAsia="黑体" w:hAnsi="黑体" w:cs="黑体"/>
          <w:bCs w:val="0"/>
          <w:color w:val="000000"/>
          <w:sz w:val="32"/>
          <w:szCs w:val="32"/>
        </w:rPr>
      </w:pPr>
    </w:p>
    <w:p w:rsidR="00FA3701" w:rsidRDefault="00FA3701">
      <w:pPr>
        <w:pStyle w:val="Default"/>
        <w:rPr>
          <w:rStyle w:val="a5"/>
          <w:rFonts w:ascii="黑体" w:eastAsia="黑体" w:hAnsi="黑体" w:cs="黑体" w:hint="default"/>
          <w:bCs w:val="0"/>
          <w:sz w:val="32"/>
          <w:szCs w:val="32"/>
        </w:rPr>
      </w:pPr>
    </w:p>
    <w:p w:rsidR="00FA3701" w:rsidRDefault="00FA3701">
      <w:pPr>
        <w:pStyle w:val="Default"/>
        <w:rPr>
          <w:rStyle w:val="a5"/>
          <w:rFonts w:ascii="黑体" w:eastAsia="黑体" w:hAnsi="黑体" w:cs="黑体" w:hint="default"/>
          <w:bCs w:val="0"/>
          <w:sz w:val="32"/>
          <w:szCs w:val="32"/>
        </w:rPr>
      </w:pPr>
    </w:p>
    <w:p w:rsidR="00FA3701" w:rsidRDefault="003F4625">
      <w:pPr>
        <w:overflowPunct/>
        <w:autoSpaceDE/>
        <w:autoSpaceDN/>
        <w:adjustRightInd/>
        <w:spacing w:line="560" w:lineRule="exact"/>
        <w:ind w:firstLineChars="196" w:firstLine="630"/>
        <w:textAlignment w:val="auto"/>
        <w:rPr>
          <w:rStyle w:val="a5"/>
          <w:rFonts w:ascii="黑体" w:eastAsia="黑体" w:hAnsi="黑体" w:cs="黑体"/>
          <w:bCs w:val="0"/>
          <w:color w:val="000000"/>
          <w:sz w:val="32"/>
          <w:szCs w:val="32"/>
        </w:rPr>
      </w:pPr>
      <w:r>
        <w:rPr>
          <w:rStyle w:val="a5"/>
          <w:rFonts w:ascii="黑体" w:eastAsia="黑体" w:hAnsi="黑体" w:cs="黑体" w:hint="eastAsia"/>
          <w:bCs w:val="0"/>
          <w:color w:val="000000"/>
          <w:sz w:val="32"/>
          <w:szCs w:val="32"/>
        </w:rPr>
        <w:lastRenderedPageBreak/>
        <w:t>一、兰溪市征收管理处概况</w:t>
      </w:r>
    </w:p>
    <w:p w:rsidR="00FA3701" w:rsidRDefault="003F4625">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FA3701" w:rsidRDefault="003F4625">
      <w:pPr>
        <w:snapToGrid w:val="0"/>
        <w:spacing w:line="520" w:lineRule="exact"/>
        <w:ind w:firstLineChars="200" w:firstLine="640"/>
        <w:rPr>
          <w:rFonts w:ascii="仿宋_GB2312" w:eastAsia="仿宋_GB2312" w:hAnsi="仿宋"/>
          <w:sz w:val="32"/>
          <w:szCs w:val="32"/>
        </w:rPr>
      </w:pPr>
      <w:r>
        <w:rPr>
          <w:rFonts w:ascii="仿宋_GB2312" w:eastAsia="仿宋_GB2312" w:hAnsi="仿宋_GB2312" w:cs="仿宋_GB2312" w:hint="eastAsia"/>
          <w:bCs/>
          <w:sz w:val="32"/>
          <w:szCs w:val="32"/>
        </w:rPr>
        <w:t xml:space="preserve">1. </w:t>
      </w:r>
      <w:r>
        <w:rPr>
          <w:rFonts w:ascii="仿宋_GB2312" w:eastAsia="仿宋_GB2312" w:hAnsi="仿宋" w:hint="eastAsia"/>
          <w:sz w:val="32"/>
          <w:szCs w:val="32"/>
        </w:rPr>
        <w:t>负责我市</w:t>
      </w:r>
      <w:r>
        <w:rPr>
          <w:rFonts w:ascii="仿宋_GB2312" w:eastAsia="仿宋_GB2312" w:hAnsi="宋体" w:hint="eastAsia"/>
          <w:sz w:val="32"/>
          <w:szCs w:val="32"/>
        </w:rPr>
        <w:t>兰溪市国有土地上的房屋征收工作。</w:t>
      </w:r>
    </w:p>
    <w:p w:rsidR="00FA3701" w:rsidRDefault="003F4625">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（二）单位机构设置情况</w:t>
      </w:r>
    </w:p>
    <w:p w:rsidR="00FA3701" w:rsidRDefault="003F4625">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我单位为公益一类全额拨款事业单位，核定编制数为7人，现有在编人数3人。</w:t>
      </w:r>
    </w:p>
    <w:p w:rsidR="00FA3701" w:rsidRDefault="00FA3701">
      <w:pPr>
        <w:snapToGrid w:val="0"/>
        <w:spacing w:line="520" w:lineRule="exact"/>
        <w:ind w:firstLineChars="250" w:firstLine="800"/>
        <w:rPr>
          <w:rFonts w:ascii="仿宋_GB2312" w:eastAsia="仿宋_GB2312" w:hAnsi="仿宋"/>
          <w:sz w:val="32"/>
          <w:szCs w:val="32"/>
        </w:rPr>
      </w:pPr>
    </w:p>
    <w:p w:rsidR="00FA3701" w:rsidRDefault="003F4625">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5"/>
          <w:rFonts w:ascii="黑体" w:eastAsia="黑体" w:hAnsi="黑体" w:cs="楷体_GB2312" w:hint="eastAsia"/>
          <w:bCs w:val="0"/>
          <w:color w:val="000000"/>
          <w:sz w:val="32"/>
          <w:szCs w:val="32"/>
        </w:rPr>
        <w:t>二、</w:t>
      </w:r>
      <w:r>
        <w:rPr>
          <w:rStyle w:val="a5"/>
          <w:rFonts w:ascii="黑体" w:eastAsia="黑体" w:hAnsi="黑体" w:cs="黑体" w:hint="eastAsia"/>
          <w:bCs w:val="0"/>
          <w:color w:val="000000"/>
          <w:sz w:val="32"/>
          <w:szCs w:val="32"/>
        </w:rPr>
        <w:t>兰溪市征收管理处</w:t>
      </w:r>
      <w:r>
        <w:rPr>
          <w:rStyle w:val="a5"/>
          <w:rFonts w:ascii="黑体" w:eastAsia="黑体" w:hAnsi="黑体" w:cs="楷体_GB2312" w:hint="eastAsia"/>
          <w:bCs w:val="0"/>
          <w:color w:val="000000"/>
          <w:sz w:val="32"/>
          <w:szCs w:val="32"/>
        </w:rPr>
        <w:t>2022年单位预算安排情况说明</w:t>
      </w:r>
    </w:p>
    <w:p w:rsidR="00FA3701" w:rsidRDefault="003F4625">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5"/>
          <w:rFonts w:ascii="楷体_GB2312" w:eastAsia="楷体_GB2312" w:hAnsi="楷体_GB2312" w:cs="楷体_GB2312" w:hint="eastAsia"/>
          <w:bCs w:val="0"/>
          <w:color w:val="000000"/>
          <w:sz w:val="32"/>
          <w:szCs w:val="32"/>
        </w:rPr>
        <w:t xml:space="preserve">  </w:t>
      </w:r>
      <w:r>
        <w:rPr>
          <w:rFonts w:ascii="楷体_GB2312" w:eastAsia="楷体_GB2312" w:hAnsi="楷体_GB2312" w:cs="楷体_GB2312" w:hint="eastAsia"/>
          <w:b/>
          <w:color w:val="000000"/>
          <w:sz w:val="32"/>
          <w:szCs w:val="32"/>
        </w:rPr>
        <w:t>（一）关于兰溪市</w:t>
      </w:r>
      <w:r>
        <w:rPr>
          <w:rStyle w:val="a5"/>
          <w:rFonts w:ascii="楷体_GB2312" w:eastAsia="楷体_GB2312" w:hAnsi="楷体_GB2312" w:cs="楷体_GB2312" w:hint="eastAsia"/>
          <w:bCs w:val="0"/>
          <w:color w:val="000000"/>
          <w:sz w:val="32"/>
          <w:szCs w:val="32"/>
        </w:rPr>
        <w:t>房屋征收管理处2022年收支预算情况的总体说明</w:t>
      </w:r>
    </w:p>
    <w:p w:rsidR="00FA3701" w:rsidRDefault="003F4625">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Times New Roman"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兰溪市征收管理处所有收入和支出均纳入部门（单位）预算管理。收入包括：一般公共预算拨款收入；支出包括：卫生健康支出、城乡社区支出。兰溪市征收管理处</w:t>
      </w:r>
      <w:r>
        <w:rPr>
          <w:rFonts w:ascii="仿宋_GB2312" w:eastAsia="仿宋_GB2312" w:hAnsi="仿宋_GB2312" w:cs="仿宋_GB2312" w:hint="eastAsia"/>
          <w:bCs/>
          <w:color w:val="000000"/>
          <w:sz w:val="32"/>
          <w:szCs w:val="32"/>
        </w:rPr>
        <w:t>2022年收支总预算85.28万元。</w:t>
      </w:r>
    </w:p>
    <w:p w:rsidR="00FA3701" w:rsidRDefault="003F4625">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（二）关于兰溪市</w:t>
      </w:r>
      <w:r>
        <w:rPr>
          <w:rStyle w:val="a5"/>
          <w:rFonts w:ascii="楷体_GB2312" w:eastAsia="楷体_GB2312" w:hAnsi="楷体_GB2312" w:cs="楷体_GB2312" w:hint="eastAsia"/>
          <w:bCs w:val="0"/>
          <w:color w:val="000000"/>
          <w:sz w:val="32"/>
          <w:szCs w:val="32"/>
        </w:rPr>
        <w:t>房屋征收管理处</w:t>
      </w:r>
      <w:r>
        <w:rPr>
          <w:rFonts w:ascii="楷体_GB2312" w:eastAsia="楷体_GB2312" w:hAnsi="楷体_GB2312" w:cs="楷体_GB2312" w:hint="eastAsia"/>
          <w:b/>
          <w:color w:val="000000"/>
          <w:sz w:val="32"/>
          <w:szCs w:val="32"/>
        </w:rPr>
        <w:t>2022年收入预算情况说明</w:t>
      </w:r>
    </w:p>
    <w:p w:rsidR="00FA3701" w:rsidRDefault="003F4625">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int="eastAsia"/>
          <w:color w:val="000000"/>
          <w:sz w:val="32"/>
          <w:szCs w:val="32"/>
        </w:rPr>
        <w:t>兰溪市征收管理处</w:t>
      </w:r>
      <w:r>
        <w:rPr>
          <w:rFonts w:ascii="仿宋_GB2312" w:eastAsia="仿宋_GB2312" w:hAnsi="仿宋_GB2312" w:cs="仿宋_GB2312" w:hint="eastAsia"/>
          <w:color w:val="000000"/>
          <w:sz w:val="32"/>
          <w:szCs w:val="32"/>
        </w:rPr>
        <w:t>2022年收入预算</w:t>
      </w:r>
      <w:r>
        <w:rPr>
          <w:rFonts w:ascii="仿宋_GB2312" w:eastAsia="仿宋_GB2312" w:hAnsi="仿宋_GB2312" w:cs="仿宋_GB2312" w:hint="eastAsia"/>
          <w:bCs/>
          <w:color w:val="000000"/>
          <w:sz w:val="32"/>
          <w:szCs w:val="32"/>
        </w:rPr>
        <w:t>85.28</w:t>
      </w:r>
      <w:r>
        <w:rPr>
          <w:rFonts w:ascii="仿宋_GB2312" w:eastAsia="仿宋_GB2312" w:hAnsi="仿宋_GB2312" w:cs="仿宋_GB2312" w:hint="eastAsia"/>
          <w:color w:val="000000"/>
          <w:sz w:val="32"/>
          <w:szCs w:val="32"/>
        </w:rPr>
        <w:t>万元，比上年执行数减少18.9万元，下</w:t>
      </w:r>
      <w:r>
        <w:rPr>
          <w:rFonts w:ascii="仿宋_GB2312" w:eastAsia="仿宋_GB2312" w:hAnsi="仿宋_GB2312" w:cs="仿宋_GB2312" w:hint="eastAsia"/>
          <w:color w:val="000000"/>
          <w:sz w:val="32"/>
        </w:rPr>
        <w:t>降18%，</w:t>
      </w:r>
      <w:r>
        <w:rPr>
          <w:rFonts w:ascii="仿宋_GB2312" w:eastAsia="仿宋_GB2312" w:hAnsi="仿宋_GB2312" w:cs="仿宋_GB2312" w:hint="eastAsia"/>
          <w:color w:val="000000"/>
          <w:sz w:val="32"/>
          <w:szCs w:val="32"/>
        </w:rPr>
        <w:t>主要是人员支出减少。</w:t>
      </w:r>
    </w:p>
    <w:p w:rsidR="00FA3701" w:rsidRDefault="003F4625">
      <w:pPr>
        <w:widowControl w:val="0"/>
        <w:overflowPunct/>
        <w:autoSpaceDE/>
        <w:autoSpaceDN/>
        <w:adjustRightInd/>
        <w:spacing w:line="560" w:lineRule="exact"/>
        <w:ind w:firstLineChars="200" w:firstLine="640"/>
        <w:textAlignment w:val="auto"/>
        <w:rPr>
          <w:rFonts w:ascii="仿宋_GB2312" w:eastAsia="仿宋_GB2312"/>
          <w:color w:val="000000"/>
          <w:sz w:val="32"/>
          <w:szCs w:val="32"/>
        </w:rPr>
      </w:pPr>
      <w:r>
        <w:rPr>
          <w:rFonts w:ascii="仿宋_GB2312" w:eastAsia="仿宋_GB2312" w:hint="eastAsia"/>
          <w:color w:val="000000"/>
          <w:sz w:val="32"/>
          <w:szCs w:val="32"/>
        </w:rPr>
        <w:t>其中：一般公共预算拨款收入85.28万元，占100%。</w:t>
      </w:r>
    </w:p>
    <w:p w:rsidR="00CF39F9" w:rsidRDefault="003F4625">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rPr>
      </w:pP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（三）关于兰溪市</w:t>
      </w:r>
      <w:r>
        <w:rPr>
          <w:rStyle w:val="a5"/>
          <w:rFonts w:ascii="楷体_GB2312" w:eastAsia="楷体_GB2312" w:hAnsi="楷体_GB2312" w:cs="楷体_GB2312" w:hint="eastAsia"/>
          <w:bCs w:val="0"/>
          <w:color w:val="000000"/>
          <w:sz w:val="32"/>
          <w:szCs w:val="32"/>
        </w:rPr>
        <w:t>房屋征收管理处</w:t>
      </w:r>
      <w:r>
        <w:rPr>
          <w:rFonts w:ascii="楷体_GB2312" w:eastAsia="楷体_GB2312" w:hAnsi="楷体_GB2312" w:cs="楷体_GB2312" w:hint="eastAsia"/>
          <w:b/>
          <w:color w:val="000000"/>
          <w:sz w:val="32"/>
          <w:szCs w:val="32"/>
        </w:rPr>
        <w:t>2022年支出预算情况说明</w:t>
      </w:r>
    </w:p>
    <w:p w:rsidR="00FA3701" w:rsidRDefault="003F4625" w:rsidP="00CF39F9">
      <w:pPr>
        <w:widowControl w:val="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int="eastAsia"/>
          <w:color w:val="000000"/>
          <w:sz w:val="32"/>
          <w:szCs w:val="32"/>
        </w:rPr>
        <w:t>兰溪市征收管理处</w:t>
      </w:r>
      <w:r>
        <w:rPr>
          <w:rFonts w:ascii="仿宋_GB2312" w:eastAsia="仿宋_GB2312" w:hAnsi="仿宋_GB2312" w:cs="仿宋_GB2312" w:hint="eastAsia"/>
          <w:bCs/>
          <w:color w:val="000000"/>
          <w:sz w:val="32"/>
          <w:szCs w:val="32"/>
        </w:rPr>
        <w:t>2022年支出预算85.28万元。</w:t>
      </w:r>
    </w:p>
    <w:p w:rsidR="00FA3701" w:rsidRDefault="003F4625">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按支出功能分类，包括卫生健康支出1.62万元，占1.9%、城乡社区支出83.65万元，占98.1%。</w:t>
      </w:r>
    </w:p>
    <w:p w:rsidR="00FA3701" w:rsidRDefault="003F4625">
      <w:pPr>
        <w:numPr>
          <w:ilvl w:val="0"/>
          <w:numId w:val="1"/>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按支出用途分类，包括人员支出59.94万元，</w:t>
      </w:r>
      <w:r>
        <w:rPr>
          <w:rFonts w:ascii="仿宋_GB2312" w:eastAsia="仿宋_GB2312" w:hAnsi="仿宋_GB2312" w:cs="仿宋_GB2312" w:hint="eastAsia"/>
          <w:color w:val="000000"/>
          <w:sz w:val="32"/>
          <w:szCs w:val="32"/>
        </w:rPr>
        <w:t>占70.29%；</w:t>
      </w:r>
      <w:r>
        <w:rPr>
          <w:rFonts w:ascii="仿宋_GB2312" w:eastAsia="仿宋_GB2312" w:hAnsi="仿宋_GB2312" w:cs="仿宋_GB2312" w:hint="eastAsia"/>
          <w:bCs/>
          <w:color w:val="000000"/>
          <w:sz w:val="32"/>
          <w:szCs w:val="32"/>
        </w:rPr>
        <w:t>日常公用支出3.9万元，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4.57</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Cs/>
          <w:color w:val="000000"/>
          <w:sz w:val="32"/>
          <w:szCs w:val="32"/>
        </w:rPr>
        <w:t>项目支出21.44万元，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25.14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w:t>
      </w:r>
    </w:p>
    <w:p w:rsidR="00CF39F9" w:rsidRDefault="003F4625" w:rsidP="00CF39F9">
      <w:pPr>
        <w:overflowPunct/>
        <w:autoSpaceDE/>
        <w:autoSpaceDN/>
        <w:adjustRightInd/>
        <w:spacing w:line="560" w:lineRule="exact"/>
        <w:ind w:left="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（四）财政拨款收支预算情况的总体说明</w:t>
      </w:r>
    </w:p>
    <w:p w:rsidR="00FA3701" w:rsidRDefault="003F4625" w:rsidP="00CF39F9">
      <w:pPr>
        <w:overflowPunct/>
        <w:autoSpaceDE/>
        <w:autoSpaceDN/>
        <w:adjustRightInd/>
        <w:spacing w:line="560" w:lineRule="exact"/>
        <w:ind w:left="630"/>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兰溪市征收管理处</w:t>
      </w:r>
      <w:r>
        <w:rPr>
          <w:rFonts w:ascii="仿宋_GB2312" w:eastAsia="仿宋_GB2312" w:hAnsi="仿宋_GB2312" w:cs="仿宋_GB2312" w:hint="eastAsia"/>
          <w:bCs/>
          <w:color w:val="000000"/>
          <w:sz w:val="32"/>
          <w:szCs w:val="32"/>
        </w:rPr>
        <w:t>2022年财政拨款收支总预算85.28万元。包括：一般公共预算拨款收入85.28万元。</w:t>
      </w:r>
    </w:p>
    <w:p w:rsidR="00FA3701" w:rsidRDefault="003F4625">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w:t>
      </w:r>
      <w:r>
        <w:rPr>
          <w:rStyle w:val="a5"/>
          <w:rFonts w:ascii="楷体_GB2312" w:eastAsia="楷体_GB2312" w:hAnsi="楷体_GB2312" w:cs="楷体_GB2312" w:hint="eastAsia"/>
          <w:bCs w:val="0"/>
          <w:color w:val="000000"/>
          <w:sz w:val="32"/>
          <w:szCs w:val="32"/>
        </w:rPr>
        <w:t>房屋征收管理处</w:t>
      </w:r>
      <w:r>
        <w:rPr>
          <w:rFonts w:ascii="楷体_GB2312" w:eastAsia="楷体_GB2312" w:hAnsi="楷体_GB2312" w:cs="楷体_GB2312" w:hint="eastAsia"/>
          <w:b/>
          <w:color w:val="000000"/>
          <w:sz w:val="32"/>
          <w:szCs w:val="32"/>
        </w:rPr>
        <w:t>2022年一般公共预算当年拨款情况说明</w:t>
      </w:r>
    </w:p>
    <w:p w:rsidR="00FA3701" w:rsidRDefault="003F4625">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FA3701" w:rsidRDefault="003F4625">
      <w:pPr>
        <w:overflowPunct/>
        <w:autoSpaceDE/>
        <w:autoSpaceDN/>
        <w:adjustRightInd/>
        <w:spacing w:line="520" w:lineRule="exact"/>
        <w:ind w:firstLine="642"/>
        <w:textAlignment w:val="auto"/>
        <w:rPr>
          <w:rFonts w:ascii="仿宋_GB2312" w:eastAsia="仿宋_GB2312"/>
          <w:color w:val="000000"/>
          <w:sz w:val="32"/>
          <w:szCs w:val="32"/>
        </w:rPr>
      </w:pPr>
      <w:r>
        <w:rPr>
          <w:rFonts w:ascii="仿宋_GB2312" w:eastAsia="仿宋_GB2312" w:hint="eastAsia"/>
          <w:color w:val="000000"/>
          <w:sz w:val="32"/>
          <w:szCs w:val="32"/>
        </w:rPr>
        <w:t>兰溪市征收管理处</w:t>
      </w:r>
      <w:r>
        <w:rPr>
          <w:rFonts w:ascii="仿宋_GB2312" w:eastAsia="仿宋_GB2312" w:hAnsi="仿宋_GB2312" w:cs="仿宋_GB2312" w:hint="eastAsia"/>
          <w:bCs/>
          <w:color w:val="000000"/>
          <w:sz w:val="32"/>
          <w:szCs w:val="32"/>
        </w:rPr>
        <w:t>2022年一般公共预算当年拨款85.28万元，比上年执行数减少</w:t>
      </w:r>
      <w:r>
        <w:rPr>
          <w:rFonts w:ascii="仿宋_GB2312" w:eastAsia="仿宋_GB2312" w:hAnsi="仿宋_GB2312" w:cs="仿宋_GB2312" w:hint="eastAsia"/>
          <w:color w:val="000000"/>
          <w:sz w:val="32"/>
          <w:szCs w:val="32"/>
        </w:rPr>
        <w:t>18.9</w:t>
      </w:r>
      <w:r>
        <w:rPr>
          <w:rFonts w:ascii="仿宋_GB2312" w:eastAsia="仿宋_GB2312" w:hAnsi="仿宋_GB2312" w:cs="仿宋_GB2312" w:hint="eastAsia"/>
          <w:bCs/>
          <w:color w:val="000000"/>
          <w:sz w:val="32"/>
          <w:szCs w:val="32"/>
        </w:rPr>
        <w:t>万元，主要是人员减少导致的人员经费减少</w:t>
      </w:r>
      <w:r>
        <w:rPr>
          <w:rFonts w:ascii="仿宋_GB2312" w:eastAsia="仿宋_GB2312" w:hAnsi="仿宋_GB2312" w:cs="仿宋_GB2312" w:hint="eastAsia"/>
          <w:color w:val="000000"/>
          <w:sz w:val="32"/>
          <w:szCs w:val="32"/>
        </w:rPr>
        <w:t>。</w:t>
      </w:r>
    </w:p>
    <w:p w:rsidR="00FA3701" w:rsidRDefault="003F4625">
      <w:pPr>
        <w:overflowPunct/>
        <w:autoSpaceDE/>
        <w:autoSpaceDN/>
        <w:adjustRightInd/>
        <w:spacing w:line="560" w:lineRule="exact"/>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2.一般公共预算当年拨款具体使用情况</w:t>
      </w:r>
    </w:p>
    <w:p w:rsidR="00FA3701" w:rsidRDefault="003F4625">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（1）卫生健康支出（类）行政事业单位医疗（款）事业单位医疗（项）1.62万元，主要用于事业单位医疗保险缴费经费。</w:t>
      </w:r>
    </w:p>
    <w:p w:rsidR="00FA3701" w:rsidRDefault="003F4625">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（2）城乡社区支出（类）其他城乡社区支出（款）其他城乡社区支出（项）83.65万元，主要用于弥补日常运转经费不足。</w:t>
      </w:r>
    </w:p>
    <w:p w:rsidR="00FA3701" w:rsidRDefault="003F4625">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仿宋_GB2312" w:eastAsia="仿宋_GB2312" w:hAnsi="仿宋_GB2312" w:cs="仿宋_GB2312" w:hint="eastAsia"/>
          <w:bCs/>
          <w:color w:val="000000"/>
          <w:sz w:val="32"/>
          <w:szCs w:val="32"/>
        </w:rPr>
        <w:t xml:space="preserve">   </w:t>
      </w:r>
      <w:r>
        <w:rPr>
          <w:rFonts w:ascii="楷体_GB2312" w:eastAsia="楷体_GB2312" w:hAnsi="楷体_GB2312" w:cs="楷体_GB2312" w:hint="eastAsia"/>
          <w:b/>
          <w:color w:val="000000"/>
          <w:sz w:val="32"/>
          <w:szCs w:val="32"/>
        </w:rPr>
        <w:t xml:space="preserve"> （六）关于兰溪市</w:t>
      </w:r>
      <w:r>
        <w:rPr>
          <w:rStyle w:val="a5"/>
          <w:rFonts w:ascii="楷体_GB2312" w:eastAsia="楷体_GB2312" w:hAnsi="楷体_GB2312" w:cs="楷体_GB2312" w:hint="eastAsia"/>
          <w:bCs w:val="0"/>
          <w:color w:val="000000"/>
          <w:sz w:val="32"/>
          <w:szCs w:val="32"/>
        </w:rPr>
        <w:t>房屋征收管理处</w:t>
      </w:r>
      <w:r>
        <w:rPr>
          <w:rFonts w:ascii="楷体_GB2312" w:eastAsia="楷体_GB2312" w:hAnsi="楷体_GB2312" w:cs="楷体_GB2312" w:hint="eastAsia"/>
          <w:b/>
          <w:color w:val="000000"/>
          <w:sz w:val="32"/>
          <w:szCs w:val="32"/>
        </w:rPr>
        <w:t>2022年一般公共预算基本支出情况说明</w:t>
      </w:r>
    </w:p>
    <w:p w:rsidR="00FA3701" w:rsidRDefault="003F462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兰溪市征收管理处</w:t>
      </w:r>
      <w:r>
        <w:rPr>
          <w:rFonts w:ascii="仿宋_GB2312" w:eastAsia="仿宋_GB2312" w:hAnsi="仿宋_GB2312" w:cs="仿宋_GB2312" w:hint="eastAsia"/>
          <w:bCs/>
          <w:color w:val="000000"/>
          <w:sz w:val="32"/>
          <w:szCs w:val="32"/>
        </w:rPr>
        <w:t>2022年一般公共预算基本支出85.28万元，其中：</w:t>
      </w:r>
    </w:p>
    <w:p w:rsidR="00FA3701" w:rsidRDefault="003F462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人员经费59.94万元，主要包括：基本工资、津贴补贴、奖金、伙食补助费、社会保障缴费、绩效工资、其他工资福利支出、医疗费、住房公积金；</w:t>
      </w:r>
    </w:p>
    <w:p w:rsidR="00FA3701" w:rsidRDefault="003F462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公用经费25.34万元，主要包括：办公费、印刷费、咨询费、邮电费、差旅费、维修（护）费、水电费、会议费、办公设备购置费、 手续费、劳务费、工会经费、福利费、其他商品和服务支出。</w:t>
      </w:r>
    </w:p>
    <w:p w:rsidR="00FA3701" w:rsidRDefault="003F462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公务交通补贴0万元；车辆运行维护费0万元；公共交通费0万元；机要通信和应急公务用车经费0万元。</w:t>
      </w:r>
    </w:p>
    <w:p w:rsidR="00FA3701" w:rsidRDefault="003F4625">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w:t>
      </w:r>
      <w:r>
        <w:rPr>
          <w:rStyle w:val="a5"/>
          <w:rFonts w:ascii="楷体_GB2312" w:eastAsia="楷体_GB2312" w:hAnsi="楷体_GB2312" w:cs="楷体_GB2312" w:hint="eastAsia"/>
          <w:bCs w:val="0"/>
          <w:color w:val="000000"/>
          <w:sz w:val="32"/>
          <w:szCs w:val="32"/>
        </w:rPr>
        <w:t>房屋征收管理处</w:t>
      </w:r>
      <w:r>
        <w:rPr>
          <w:rFonts w:ascii="楷体_GB2312" w:eastAsia="楷体_GB2312" w:hAnsi="楷体_GB2312" w:cs="楷体_GB2312" w:hint="eastAsia"/>
          <w:b/>
          <w:color w:val="000000"/>
          <w:sz w:val="32"/>
          <w:szCs w:val="32"/>
        </w:rPr>
        <w:t>2022年政府性基金预算支出情况说明</w:t>
      </w:r>
    </w:p>
    <w:p w:rsidR="00FA3701" w:rsidRDefault="003F4625">
      <w:pPr>
        <w:overflowPunct/>
        <w:autoSpaceDE/>
        <w:autoSpaceDN/>
        <w:adjustRightInd/>
        <w:spacing w:line="560" w:lineRule="exact"/>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
          <w:color w:val="000000"/>
          <w:sz w:val="32"/>
          <w:szCs w:val="32"/>
        </w:rPr>
        <w:t>1.政府性基金预算当年拨款规模变化情况</w:t>
      </w:r>
    </w:p>
    <w:p w:rsidR="00FA3701" w:rsidRDefault="003F4625">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int="eastAsia"/>
          <w:color w:val="000000"/>
          <w:sz w:val="32"/>
          <w:szCs w:val="32"/>
        </w:rPr>
        <w:t>兰溪市征收管理处</w:t>
      </w:r>
      <w:r>
        <w:rPr>
          <w:rFonts w:ascii="仿宋_GB2312" w:eastAsia="仿宋_GB2312" w:hAnsi="仿宋_GB2312" w:cs="仿宋_GB2312" w:hint="eastAsia"/>
          <w:bCs/>
          <w:color w:val="000000"/>
          <w:sz w:val="32"/>
          <w:szCs w:val="32"/>
        </w:rPr>
        <w:t>2022年没有使用政府性基金预算拨款安排的支出</w:t>
      </w:r>
    </w:p>
    <w:p w:rsidR="00FA3701" w:rsidRDefault="003F4625">
      <w:pPr>
        <w:overflowPunct/>
        <w:autoSpaceDE/>
        <w:autoSpaceDN/>
        <w:adjustRightInd/>
        <w:spacing w:line="560" w:lineRule="exact"/>
        <w:ind w:firstLine="642"/>
        <w:textAlignment w:val="auto"/>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（八）</w:t>
      </w:r>
      <w:r>
        <w:rPr>
          <w:rFonts w:ascii="楷体_GB2312" w:eastAsia="楷体_GB2312" w:hAnsi="楷体_GB2312" w:cs="楷体_GB2312" w:hint="eastAsia"/>
          <w:b/>
          <w:color w:val="000000"/>
          <w:sz w:val="32"/>
          <w:szCs w:val="32"/>
        </w:rPr>
        <w:t>关于兰溪市</w:t>
      </w:r>
      <w:r>
        <w:rPr>
          <w:rStyle w:val="a5"/>
          <w:rFonts w:ascii="楷体_GB2312" w:eastAsia="楷体_GB2312" w:hAnsi="楷体_GB2312" w:cs="楷体_GB2312" w:hint="eastAsia"/>
          <w:bCs w:val="0"/>
          <w:color w:val="000000"/>
          <w:sz w:val="32"/>
          <w:szCs w:val="32"/>
        </w:rPr>
        <w:t>房屋征收管理处</w:t>
      </w:r>
      <w:r>
        <w:rPr>
          <w:rFonts w:ascii="楷体_GB2312" w:eastAsia="楷体_GB2312" w:hAnsi="楷体_GB2312" w:cs="楷体_GB2312" w:hint="eastAsia"/>
          <w:b/>
          <w:color w:val="000000"/>
          <w:sz w:val="32"/>
          <w:szCs w:val="32"/>
        </w:rPr>
        <w:t>2022年国有资本经营预算支出情况说明</w:t>
      </w:r>
    </w:p>
    <w:p w:rsidR="00FA3701" w:rsidRDefault="003F4625">
      <w:pPr>
        <w:overflowPunct/>
        <w:autoSpaceDE/>
        <w:autoSpaceDN/>
        <w:adjustRightInd/>
        <w:spacing w:line="520" w:lineRule="exact"/>
        <w:ind w:leftChars="227" w:left="477"/>
        <w:textAlignment w:val="auto"/>
        <w:rPr>
          <w:rFonts w:ascii="仿宋_GB2312" w:eastAsia="仿宋_GB2312" w:hAnsi="仿宋_GB2312" w:cs="仿宋_GB2312"/>
          <w:color w:val="000000"/>
          <w:sz w:val="32"/>
          <w:szCs w:val="32"/>
        </w:rPr>
      </w:pPr>
      <w:r>
        <w:rPr>
          <w:rFonts w:ascii="仿宋_GB2312" w:eastAsia="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int="eastAsia"/>
          <w:color w:val="000000"/>
          <w:sz w:val="32"/>
          <w:szCs w:val="32"/>
        </w:rPr>
        <w:t>兰溪市征收管理处</w:t>
      </w:r>
      <w:r>
        <w:rPr>
          <w:rFonts w:ascii="仿宋_GB2312" w:eastAsia="仿宋_GB2312" w:hAnsi="仿宋_GB2312" w:cs="仿宋_GB2312" w:hint="eastAsia"/>
          <w:color w:val="000000"/>
          <w:sz w:val="32"/>
          <w:szCs w:val="32"/>
        </w:rPr>
        <w:t>2022年没有使用国有资本经营预算拨款安排的支出。</w:t>
      </w:r>
    </w:p>
    <w:p w:rsidR="00FA3701" w:rsidRDefault="00FA3701">
      <w:pPr>
        <w:pStyle w:val="Default"/>
        <w:rPr>
          <w:rFonts w:hint="default"/>
        </w:rPr>
      </w:pPr>
    </w:p>
    <w:p w:rsidR="00FA3701" w:rsidRDefault="003F4625">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（九）关于兰溪市征收管理处2022年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FA3701" w:rsidRDefault="003F4625">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int="eastAsia"/>
          <w:color w:val="000000"/>
          <w:sz w:val="32"/>
          <w:szCs w:val="32"/>
        </w:rPr>
        <w:t>兰溪市征收管理处</w:t>
      </w:r>
      <w:r>
        <w:rPr>
          <w:rFonts w:ascii="仿宋_GB2312" w:eastAsia="仿宋_GB2312" w:hAnsi="仿宋_GB2312" w:cs="仿宋_GB2312" w:hint="eastAsia"/>
          <w:bCs/>
          <w:color w:val="000000"/>
          <w:kern w:val="2"/>
          <w:sz w:val="32"/>
          <w:szCs w:val="32"/>
        </w:rPr>
        <w:t>2022 年“三公”经费预算数为</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color w:val="000000"/>
          <w:kern w:val="2"/>
          <w:sz w:val="32"/>
          <w:szCs w:val="32"/>
        </w:rPr>
        <w:t>万元，</w:t>
      </w:r>
      <w:r w:rsidR="00631470">
        <w:rPr>
          <w:rFonts w:ascii="仿宋_GB2312" w:eastAsia="仿宋_GB2312" w:hAnsi="仿宋_GB2312" w:cs="仿宋_GB2312" w:hint="eastAsia"/>
          <w:bCs/>
          <w:color w:val="000000"/>
          <w:kern w:val="2"/>
          <w:sz w:val="32"/>
          <w:szCs w:val="32"/>
        </w:rPr>
        <w:t>和</w:t>
      </w:r>
      <w:r>
        <w:rPr>
          <w:rFonts w:ascii="仿宋_GB2312" w:eastAsia="仿宋_GB2312" w:hAnsi="仿宋_GB2312" w:cs="仿宋_GB2312" w:hint="eastAsia"/>
          <w:bCs/>
          <w:color w:val="000000"/>
          <w:kern w:val="2"/>
          <w:sz w:val="32"/>
          <w:szCs w:val="32"/>
        </w:rPr>
        <w:t>2021年执行数</w:t>
      </w:r>
      <w:r w:rsidR="00631470">
        <w:rPr>
          <w:rFonts w:ascii="仿宋_GB2312" w:eastAsia="仿宋_GB2312" w:hAnsi="仿宋_GB2312" w:cs="仿宋_GB2312" w:hint="eastAsia"/>
          <w:bCs/>
          <w:color w:val="000000"/>
          <w:kern w:val="2"/>
          <w:sz w:val="32"/>
          <w:szCs w:val="32"/>
        </w:rPr>
        <w:t>持平，具体如下：</w:t>
      </w:r>
    </w:p>
    <w:p w:rsidR="00631470" w:rsidRDefault="00393C23" w:rsidP="00393C23">
      <w:pPr>
        <w:pStyle w:val="p0"/>
        <w:overflowPunct/>
        <w:autoSpaceDE/>
        <w:adjustRightIn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根据外事办安排的因公出</w:t>
      </w:r>
      <w:proofErr w:type="gramStart"/>
      <w:r>
        <w:rPr>
          <w:rFonts w:ascii="仿宋_GB2312" w:eastAsia="仿宋_GB2312" w:hAnsi="仿宋_GB2312" w:cs="仿宋_GB2312" w:hint="eastAsia"/>
          <w:bCs/>
          <w:sz w:val="32"/>
          <w:szCs w:val="32"/>
        </w:rPr>
        <w:t>国计划</w:t>
      </w:r>
      <w:proofErr w:type="gramEnd"/>
      <w:r>
        <w:rPr>
          <w:rFonts w:ascii="仿宋_GB2312" w:eastAsia="仿宋_GB2312" w:hAnsi="仿宋_GB2312" w:cs="仿宋_GB2312" w:hint="eastAsia"/>
          <w:bCs/>
          <w:sz w:val="32"/>
          <w:szCs w:val="32"/>
        </w:rPr>
        <w:t>和实际工作需要，2022年安排因公出国（境）费用预算</w:t>
      </w:r>
      <w:r w:rsidR="00631470">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sidR="00631470">
        <w:rPr>
          <w:rFonts w:ascii="仿宋_GB2312" w:eastAsia="仿宋_GB2312" w:hAnsi="仿宋_GB2312" w:cs="仿宋_GB2312" w:hint="eastAsia"/>
          <w:bCs/>
          <w:color w:val="000000"/>
          <w:kern w:val="2"/>
          <w:sz w:val="32"/>
          <w:szCs w:val="32"/>
        </w:rPr>
        <w:t>和2021年执行数持平</w:t>
      </w:r>
      <w:r w:rsidR="00631470">
        <w:rPr>
          <w:rFonts w:ascii="仿宋_GB2312" w:eastAsia="仿宋_GB2312" w:hAnsi="仿宋_GB2312" w:cs="仿宋_GB2312" w:hint="eastAsia"/>
          <w:bCs/>
          <w:sz w:val="32"/>
          <w:szCs w:val="32"/>
        </w:rPr>
        <w:t>。</w:t>
      </w:r>
    </w:p>
    <w:p w:rsidR="00631470" w:rsidRDefault="00393C23" w:rsidP="00393C23">
      <w:pPr>
        <w:pStyle w:val="p0"/>
        <w:overflowPunct/>
        <w:autoSpaceDE/>
        <w:adjustRightInd/>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2.公务接待费：2022年安排公务接待费预算</w:t>
      </w:r>
      <w:r w:rsidR="00631470">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sidR="00631470">
        <w:rPr>
          <w:rFonts w:ascii="仿宋_GB2312" w:eastAsia="仿宋_GB2312" w:hAnsi="仿宋_GB2312" w:cs="仿宋_GB2312" w:hint="eastAsia"/>
          <w:bCs/>
          <w:sz w:val="32"/>
          <w:szCs w:val="32"/>
        </w:rPr>
        <w:t>和2021年持平</w:t>
      </w:r>
      <w:r>
        <w:rPr>
          <w:rFonts w:ascii="仿宋_GB2312" w:eastAsia="仿宋_GB2312" w:hAnsi="仿宋_GB2312" w:cs="仿宋_GB2312" w:hint="eastAsia"/>
          <w:bCs/>
          <w:sz w:val="32"/>
          <w:szCs w:val="32"/>
        </w:rPr>
        <w:t>。</w:t>
      </w:r>
    </w:p>
    <w:p w:rsidR="00393C23" w:rsidRDefault="00393C23" w:rsidP="00393C23">
      <w:pPr>
        <w:pStyle w:val="p0"/>
        <w:overflowPunct/>
        <w:autoSpaceDE/>
        <w:adjustRightInd/>
        <w:spacing w:line="560" w:lineRule="exact"/>
        <w:ind w:firstLineChars="200" w:firstLine="640"/>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3.公务用车购置及运行维护费：2022年安排公务用车购置及运行维护费预算</w:t>
      </w:r>
      <w:r w:rsidR="00631470">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w:t>
      </w:r>
      <w:r w:rsidR="00631470">
        <w:rPr>
          <w:rFonts w:ascii="仿宋_GB2312" w:eastAsia="仿宋_GB2312" w:hAnsi="仿宋_GB2312" w:cs="仿宋_GB2312" w:hint="eastAsia"/>
          <w:bCs/>
          <w:sz w:val="32"/>
          <w:szCs w:val="32"/>
        </w:rPr>
        <w:t>和上年执行数持平</w:t>
      </w:r>
      <w:r>
        <w:rPr>
          <w:rFonts w:ascii="仿宋_GB2312" w:eastAsia="仿宋_GB2312" w:hAnsi="仿宋_GB2312" w:cs="仿宋_GB2312" w:hint="eastAsia"/>
          <w:bCs/>
          <w:sz w:val="32"/>
          <w:szCs w:val="32"/>
        </w:rPr>
        <w:t>。其中，公务用车购置支出</w:t>
      </w:r>
      <w:r w:rsidR="00631470">
        <w:rPr>
          <w:rFonts w:ascii="仿宋_GB2312" w:eastAsia="仿宋_GB2312" w:hAnsi="仿宋_GB2312" w:cs="仿宋_GB2312" w:hint="eastAsia"/>
          <w:bCs/>
          <w:color w:val="000000"/>
          <w:sz w:val="32"/>
          <w:szCs w:val="32"/>
        </w:rPr>
        <w:t>0</w:t>
      </w:r>
      <w:r w:rsidR="00631470">
        <w:rPr>
          <w:rFonts w:ascii="仿宋_GB2312" w:eastAsia="仿宋_GB2312" w:hAnsi="仿宋_GB2312" w:cs="仿宋_GB2312" w:hint="eastAsia"/>
          <w:bCs/>
          <w:sz w:val="32"/>
          <w:szCs w:val="32"/>
        </w:rPr>
        <w:t>万元（含购置税等附加费用）</w:t>
      </w:r>
      <w:r>
        <w:rPr>
          <w:rFonts w:ascii="仿宋_GB2312" w:eastAsia="仿宋_GB2312" w:hAnsi="仿宋_GB2312" w:cs="仿宋_GB2312" w:hint="eastAsia"/>
          <w:bCs/>
          <w:sz w:val="32"/>
          <w:szCs w:val="32"/>
        </w:rPr>
        <w:t xml:space="preserve">；公务用车运行维护费支出 </w:t>
      </w:r>
      <w:r w:rsidR="00631470">
        <w:rPr>
          <w:rFonts w:ascii="仿宋_GB2312" w:eastAsia="仿宋_GB2312" w:hAnsi="仿宋_GB2312" w:cs="仿宋_GB2312" w:hint="eastAsia"/>
          <w:bCs/>
          <w:sz w:val="32"/>
          <w:szCs w:val="32"/>
        </w:rPr>
        <w:t>0万元。</w:t>
      </w:r>
    </w:p>
    <w:p w:rsidR="00393C23" w:rsidRPr="00393C23" w:rsidRDefault="00393C23" w:rsidP="00393C23">
      <w:pPr>
        <w:pStyle w:val="p0"/>
        <w:overflowPunct/>
        <w:autoSpaceDE/>
        <w:autoSpaceDN/>
        <w:adjustRightInd/>
        <w:spacing w:line="560" w:lineRule="exact"/>
        <w:ind w:firstLineChars="200" w:firstLine="643"/>
        <w:textAlignment w:val="auto"/>
        <w:rPr>
          <w:rFonts w:ascii="楷体_GB2312" w:eastAsia="楷体_GB2312" w:hAnsi="楷体_GB2312" w:cs="楷体_GB2312"/>
          <w:b/>
          <w:sz w:val="32"/>
          <w:szCs w:val="32"/>
          <w:u w:val="single"/>
        </w:rPr>
      </w:pPr>
    </w:p>
    <w:p w:rsidR="00FA3701" w:rsidRDefault="003F4625">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（十）其他重要事项的情况说明</w:t>
      </w:r>
    </w:p>
    <w:p w:rsidR="00FA3701" w:rsidRDefault="003F4625">
      <w:pPr>
        <w:pStyle w:val="p0"/>
        <w:numPr>
          <w:ilvl w:val="0"/>
          <w:numId w:val="2"/>
        </w:numPr>
        <w:overflowPunct/>
        <w:autoSpaceDE/>
        <w:autoSpaceDN/>
        <w:adjustRightInd/>
        <w:spacing w:line="520" w:lineRule="exact"/>
        <w:ind w:firstLine="600"/>
        <w:textAlignment w:val="auto"/>
        <w:rPr>
          <w:rFonts w:ascii="仿宋_GB2312" w:eastAsia="仿宋_GB2312"/>
          <w:b/>
          <w:bCs/>
          <w:sz w:val="32"/>
          <w:szCs w:val="32"/>
        </w:rPr>
      </w:pPr>
      <w:r>
        <w:rPr>
          <w:rFonts w:ascii="仿宋_GB2312" w:eastAsia="仿宋_GB2312" w:hint="eastAsia"/>
          <w:b/>
          <w:bCs/>
          <w:sz w:val="32"/>
          <w:szCs w:val="32"/>
        </w:rPr>
        <w:t>政府采购情况。</w:t>
      </w:r>
    </w:p>
    <w:p w:rsidR="00FA3701" w:rsidRDefault="003F4625">
      <w:pPr>
        <w:pStyle w:val="p0"/>
        <w:overflowPunct/>
        <w:autoSpaceDE/>
        <w:autoSpaceDN/>
        <w:adjustRightInd/>
        <w:spacing w:line="520" w:lineRule="exact"/>
        <w:ind w:firstLineChars="200" w:firstLine="640"/>
        <w:textAlignment w:val="auto"/>
        <w:rPr>
          <w:rFonts w:ascii="仿宋_GB2312" w:eastAsia="仿宋_GB2312"/>
          <w:sz w:val="32"/>
          <w:szCs w:val="32"/>
        </w:rPr>
      </w:pPr>
      <w:r>
        <w:rPr>
          <w:rFonts w:ascii="仿宋_GB2312" w:eastAsia="仿宋_GB2312" w:hint="eastAsia"/>
          <w:sz w:val="32"/>
          <w:szCs w:val="32"/>
        </w:rPr>
        <w:t>2022年</w:t>
      </w:r>
      <w:r>
        <w:rPr>
          <w:rFonts w:ascii="楷体_GB2312" w:eastAsia="楷体_GB2312" w:hAnsi="楷体_GB2312" w:cs="楷体_GB2312" w:hint="eastAsia"/>
          <w:b/>
          <w:color w:val="000000"/>
          <w:sz w:val="32"/>
          <w:szCs w:val="32"/>
        </w:rPr>
        <w:t>兰溪市</w:t>
      </w:r>
      <w:r>
        <w:rPr>
          <w:rStyle w:val="a5"/>
          <w:rFonts w:ascii="楷体_GB2312" w:eastAsia="楷体_GB2312" w:hAnsi="楷体_GB2312" w:cs="楷体_GB2312" w:hint="eastAsia"/>
          <w:bCs w:val="0"/>
          <w:color w:val="000000"/>
          <w:sz w:val="32"/>
          <w:szCs w:val="32"/>
        </w:rPr>
        <w:t>房屋征收管理处</w:t>
      </w:r>
      <w:r>
        <w:rPr>
          <w:rFonts w:ascii="仿宋_GB2312" w:eastAsia="仿宋_GB2312" w:hint="eastAsia"/>
          <w:color w:val="000000"/>
          <w:sz w:val="32"/>
          <w:szCs w:val="32"/>
        </w:rPr>
        <w:t>政府采购预算总额2.7万元，其中：政府采购货物预算2.7万元、政府采购工程预算0万元、政府采购服务预算0万元。</w:t>
      </w:r>
    </w:p>
    <w:p w:rsidR="00FA3701" w:rsidRDefault="003F4625">
      <w:pPr>
        <w:pStyle w:val="p0"/>
        <w:numPr>
          <w:ilvl w:val="0"/>
          <w:numId w:val="2"/>
        </w:numPr>
        <w:overflowPunct/>
        <w:autoSpaceDE/>
        <w:autoSpaceDN/>
        <w:adjustRightInd/>
        <w:spacing w:line="560" w:lineRule="exact"/>
        <w:ind w:firstLine="600"/>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国有资产占有使用情况  </w:t>
      </w:r>
    </w:p>
    <w:p w:rsidR="00FA3701" w:rsidRDefault="003F4625">
      <w:pPr>
        <w:overflowPunct/>
        <w:spacing w:line="520" w:lineRule="exact"/>
        <w:ind w:firstLine="640"/>
        <w:textAlignment w:val="auto"/>
        <w:rPr>
          <w:rFonts w:ascii="仿宋_GB2312" w:eastAsia="仿宋_GB2312" w:hAnsi="仿宋_GB2312" w:cs="仿宋_GB2312"/>
          <w:sz w:val="32"/>
          <w:szCs w:val="32"/>
        </w:rPr>
      </w:pPr>
      <w:r>
        <w:rPr>
          <w:rFonts w:ascii="仿宋_GB2312" w:eastAsia="仿宋_GB2312" w:hAnsi="仿宋_GB2312" w:cs="仿宋_GB2312" w:hint="eastAsia"/>
          <w:spacing w:val="6"/>
          <w:sz w:val="32"/>
          <w:szCs w:val="32"/>
        </w:rPr>
        <w:t>截至2021年12月31日，</w:t>
      </w:r>
      <w:r>
        <w:rPr>
          <w:rFonts w:ascii="仿宋_GB2312" w:eastAsia="仿宋_GB2312" w:hAnsi="仿宋_GB2312" w:cs="仿宋_GB2312" w:hint="eastAsia"/>
          <w:bCs/>
          <w:color w:val="000000"/>
          <w:sz w:val="32"/>
          <w:szCs w:val="32"/>
        </w:rPr>
        <w:t>兰溪市征收管理处共有车辆0辆，其中，领导用车0辆、应急机要通信用车0辆、一般执法执勤用车0辆、行政执法专用车0辆、特种专业技术用车0辆、老干部服务用车0辆、其他用车0辆。</w:t>
      </w:r>
      <w:r>
        <w:rPr>
          <w:rFonts w:ascii="仿宋_GB2312" w:eastAsia="仿宋_GB2312" w:hAnsi="仿宋_GB2312" w:cs="仿宋_GB2312" w:hint="eastAsia"/>
          <w:sz w:val="32"/>
          <w:szCs w:val="32"/>
        </w:rPr>
        <w:t>单位价值50万元以上通用设备</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sz w:val="32"/>
          <w:szCs w:val="32"/>
        </w:rPr>
        <w:t>台（套），单位价值100万元以上专用设备</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sz w:val="32"/>
          <w:szCs w:val="32"/>
        </w:rPr>
        <w:t xml:space="preserve">台（套）。 </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2022年部门预算未安排购置车辆、单位价值50万元以上通用设备及单位价值100万元以上专用设备。</w:t>
      </w:r>
    </w:p>
    <w:p w:rsidR="00FA3701" w:rsidRDefault="003F4625">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
          <w:sz w:val="32"/>
          <w:szCs w:val="32"/>
        </w:rPr>
        <w:t>4.绩效目标设置情况</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bCs/>
          <w:sz w:val="32"/>
          <w:szCs w:val="32"/>
        </w:rPr>
        <w:t>2022年</w:t>
      </w:r>
      <w:r>
        <w:rPr>
          <w:rFonts w:ascii="仿宋_GB2312" w:eastAsia="仿宋_GB2312" w:hint="eastAsia"/>
          <w:color w:val="000000"/>
          <w:sz w:val="32"/>
          <w:szCs w:val="32"/>
        </w:rPr>
        <w:t>兰溪市征收管理处</w:t>
      </w:r>
      <w:r>
        <w:rPr>
          <w:rFonts w:ascii="仿宋_GB2312" w:eastAsia="仿宋_GB2312" w:hAnsi="仿宋_GB2312" w:cs="仿宋_GB2312" w:hint="eastAsia"/>
          <w:bCs/>
          <w:color w:val="000000"/>
          <w:sz w:val="32"/>
          <w:szCs w:val="32"/>
        </w:rPr>
        <w:t>其他运转类和特定目标类项目均实行绩效目标管理，涉及一般公共预算当年拨款21.44万元，</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1个。</w:t>
      </w:r>
    </w:p>
    <w:p w:rsidR="00FA3701" w:rsidRDefault="003F4625">
      <w:pPr>
        <w:pStyle w:val="p0"/>
        <w:overflowPunct/>
        <w:autoSpaceDE/>
        <w:autoSpaceDN/>
        <w:adjustRightInd/>
        <w:spacing w:line="560" w:lineRule="exact"/>
        <w:ind w:firstLineChars="200" w:firstLine="643"/>
        <w:textAlignment w:val="auto"/>
        <w:rPr>
          <w:rStyle w:val="a5"/>
          <w:rFonts w:ascii="黑体" w:eastAsia="黑体" w:hAnsi="黑体" w:cs="黑体"/>
          <w:bCs w:val="0"/>
          <w:sz w:val="32"/>
          <w:szCs w:val="32"/>
        </w:rPr>
      </w:pPr>
      <w:r>
        <w:rPr>
          <w:rStyle w:val="a5"/>
          <w:rFonts w:ascii="黑体" w:eastAsia="黑体" w:hAnsi="黑体" w:cs="黑体" w:hint="eastAsia"/>
          <w:bCs w:val="0"/>
          <w:sz w:val="32"/>
          <w:szCs w:val="32"/>
        </w:rPr>
        <w:lastRenderedPageBreak/>
        <w:t>三、名词解释</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1.财政拨款收入：本级财政部</w:t>
      </w:r>
      <w:proofErr w:type="gramStart"/>
      <w:r>
        <w:rPr>
          <w:rFonts w:ascii="仿宋_GB2312" w:eastAsia="仿宋_GB2312" w:hAnsi="仿宋_GB2312" w:cs="仿宋_GB2312" w:hint="eastAsia"/>
          <w:sz w:val="32"/>
          <w:szCs w:val="32"/>
        </w:rPr>
        <w:t>门当年</w:t>
      </w:r>
      <w:proofErr w:type="gramEnd"/>
      <w:r>
        <w:rPr>
          <w:rFonts w:ascii="仿宋_GB2312" w:eastAsia="仿宋_GB2312" w:hAnsi="仿宋_GB2312" w:cs="仿宋_GB2312" w:hint="eastAsia"/>
          <w:sz w:val="32"/>
          <w:szCs w:val="32"/>
        </w:rPr>
        <w:t>拨付的财政预算资金，包括一般公共预算财政拨款和政府性基金预算财政拨款。</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2.专户资金:教育收费作为本部门的事业收入，纳入财政专户管理的资金。</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3.事业收入：事业单位开展专业业务活动及辅助活动所取得的收入，不含专户资金收入。</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4.事业单位经营收入：事业单位在专业业务活动及辅助活动之外开展非独立核算经营活动取得的收入。</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5.其他收入：预算单位在“一般公共预算”“政府性基金”“专户资金”“事业收入”“事业单位经营收入”等之外取得的各项收入（含上级补助收入和附属单位缴款等收入）。</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11.“三公”经费：纳入财政预决算管理的“三公”经费，是指部门用一般公共预算财政拨款安排的因公出国（境）费、公务用车购置及运行费和公务接待费。其中，因公出国（境）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单位公务出国（境）的国际旅费、国外城市间交通费、住宿费、伙食费、培训费、公杂费等支出，不含教学科研人员学术交流；公务用车购置及运行</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购置税）及燃料费、维修费、过桥过路费、保险费、安全奖励费用等支出；公务接待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FA3701" w:rsidRDefault="003F4625">
      <w:pPr>
        <w:overflowPunct/>
        <w:spacing w:line="52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A3701" w:rsidRDefault="003F4625">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13文化旅游体育与传媒（类）文物（款）历史名城与古迹（项）事务反映历史名城 、世界遗产规划与古迹保护等方面的支出。</w:t>
      </w:r>
    </w:p>
    <w:p w:rsidR="00FA3701" w:rsidRDefault="003F4625">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14. 卫生健康支出（类）行政事业单位医疗（款）事业单位医疗（项）：指反映财政部门安排的事业单位基本医疗保险缴费经费，未参加医疗保险的事业单位的公费医疗经费，按国家规定享受离休人员待遇的医疗经费。</w:t>
      </w:r>
    </w:p>
    <w:p w:rsidR="00FA3701" w:rsidRDefault="003F4625">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15城乡社区支出（类）城乡规划与管理（款）城乡规划与管理（项）：指反映城乡社区、防灾减灾、历史名城规划制定与管理等方面的支出。</w:t>
      </w:r>
    </w:p>
    <w:p w:rsidR="00FA3701" w:rsidRDefault="003F4625">
      <w:pPr>
        <w:pStyle w:val="Default"/>
        <w:rPr>
          <w:rFonts w:cs="仿宋_GB2312" w:hint="default"/>
          <w:bCs/>
          <w:sz w:val="32"/>
          <w:szCs w:val="32"/>
        </w:rPr>
      </w:pPr>
      <w:r>
        <w:rPr>
          <w:szCs w:val="24"/>
        </w:rPr>
        <w:t xml:space="preserve">    </w:t>
      </w:r>
      <w:r>
        <w:rPr>
          <w:rFonts w:cs="仿宋_GB2312"/>
          <w:bCs/>
          <w:sz w:val="32"/>
          <w:szCs w:val="32"/>
        </w:rPr>
        <w:t xml:space="preserve"> 16 城乡社区支出（类）其他城乡社区支出（款）其他城乡</w:t>
      </w:r>
      <w:r>
        <w:rPr>
          <w:rFonts w:cs="仿宋_GB2312"/>
          <w:bCs/>
          <w:sz w:val="32"/>
          <w:szCs w:val="32"/>
        </w:rPr>
        <w:lastRenderedPageBreak/>
        <w:t>社区支出：指反映上述项目以外，城市基础设施配套费对应专项债务收入安排的公益性资本支出。</w:t>
      </w:r>
    </w:p>
    <w:p w:rsidR="00FA3701" w:rsidRDefault="003F4625">
      <w:pPr>
        <w:jc w:val="left"/>
      </w:pPr>
      <w:r>
        <w:rPr>
          <w:szCs w:val="24"/>
        </w:rPr>
        <w:t xml:space="preserve">     </w:t>
      </w:r>
    </w:p>
    <w:p w:rsidR="00FA3701" w:rsidRDefault="00FA3701">
      <w:pPr>
        <w:jc w:val="left"/>
      </w:pPr>
    </w:p>
    <w:p w:rsidR="00FA3701" w:rsidRDefault="00FA3701"/>
    <w:sectPr w:rsidR="00FA3701">
      <w:footerReference w:type="even" r:id="rId10"/>
      <w:footerReference w:type="default" r:id="rId11"/>
      <w:pgSz w:w="11906" w:h="16838"/>
      <w:pgMar w:top="1701" w:right="1587" w:bottom="1701" w:left="1587" w:header="851" w:footer="107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2B" w:rsidRDefault="003B5F2B">
      <w:r>
        <w:separator/>
      </w:r>
    </w:p>
  </w:endnote>
  <w:endnote w:type="continuationSeparator" w:id="0">
    <w:p w:rsidR="003B5F2B" w:rsidRDefault="003B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楷体_GB2312">
    <w:altName w:val="楷体"/>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01" w:rsidRDefault="003F4625">
    <w:pPr>
      <w:pStyle w:val="a3"/>
      <w:framePr w:wrap="around" w:vAnchor="text" w:hAnchor="margin" w:xAlign="outside" w:y="1"/>
      <w:rPr>
        <w:rStyle w:val="a6"/>
      </w:rPr>
    </w:pPr>
    <w:r>
      <w:fldChar w:fldCharType="begin"/>
    </w:r>
    <w:r>
      <w:rPr>
        <w:rStyle w:val="a6"/>
      </w:rPr>
      <w:instrText xml:space="preserve">PAGE  </w:instrText>
    </w:r>
    <w:r>
      <w:fldChar w:fldCharType="end"/>
    </w:r>
  </w:p>
  <w:p w:rsidR="00FA3701" w:rsidRDefault="00FA370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01" w:rsidRDefault="003F4625">
    <w:pPr>
      <w:pStyle w:val="a3"/>
      <w:framePr w:wrap="around" w:vAnchor="text" w:hAnchor="margin" w:xAlign="outside" w:y="1"/>
      <w:rPr>
        <w:rStyle w:val="a6"/>
        <w:rFonts w:ascii="宋体" w:hAnsi="宋体"/>
        <w:sz w:val="28"/>
        <w:szCs w:val="28"/>
      </w:rPr>
    </w:pP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A16625">
      <w:rPr>
        <w:rStyle w:val="a6"/>
        <w:rFonts w:ascii="宋体" w:hAnsi="宋体"/>
        <w:noProof/>
        <w:sz w:val="28"/>
        <w:szCs w:val="28"/>
      </w:rPr>
      <w:t>- 3 -</w:t>
    </w:r>
    <w:r>
      <w:rPr>
        <w:rFonts w:ascii="宋体" w:hAnsi="宋体"/>
        <w:sz w:val="28"/>
        <w:szCs w:val="28"/>
      </w:rPr>
      <w:fldChar w:fldCharType="end"/>
    </w:r>
  </w:p>
  <w:p w:rsidR="00FA3701" w:rsidRDefault="00FA370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2B" w:rsidRDefault="003B5F2B">
      <w:r>
        <w:separator/>
      </w:r>
    </w:p>
  </w:footnote>
  <w:footnote w:type="continuationSeparator" w:id="0">
    <w:p w:rsidR="003B5F2B" w:rsidRDefault="003B5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start w:val="2"/>
      <w:numFmt w:val="decimal"/>
      <w:suff w:val="nothing"/>
      <w:lvlText w:val="%1."/>
      <w:lvlJc w:val="left"/>
    </w:lvl>
  </w:abstractNum>
  <w:abstractNum w:abstractNumId="1">
    <w:nsid w:val="5A6003A1"/>
    <w:multiLevelType w:val="singleLevel"/>
    <w:tmpl w:val="5A6003A1"/>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A2287"/>
    <w:rsid w:val="000000DB"/>
    <w:rsid w:val="000738AB"/>
    <w:rsid w:val="000E0860"/>
    <w:rsid w:val="00324812"/>
    <w:rsid w:val="003666F7"/>
    <w:rsid w:val="00393C23"/>
    <w:rsid w:val="003B5F2B"/>
    <w:rsid w:val="003E3B1A"/>
    <w:rsid w:val="003F4625"/>
    <w:rsid w:val="0054116D"/>
    <w:rsid w:val="00624B34"/>
    <w:rsid w:val="00631470"/>
    <w:rsid w:val="0066667C"/>
    <w:rsid w:val="007E547A"/>
    <w:rsid w:val="009151DC"/>
    <w:rsid w:val="00A16625"/>
    <w:rsid w:val="00A61335"/>
    <w:rsid w:val="00A94363"/>
    <w:rsid w:val="00BB0DA4"/>
    <w:rsid w:val="00C479A5"/>
    <w:rsid w:val="00CC0AA2"/>
    <w:rsid w:val="00CD41C9"/>
    <w:rsid w:val="00CF39F9"/>
    <w:rsid w:val="00D34382"/>
    <w:rsid w:val="00D364FD"/>
    <w:rsid w:val="00DA517A"/>
    <w:rsid w:val="00DB184A"/>
    <w:rsid w:val="00FA3701"/>
    <w:rsid w:val="00FF6100"/>
    <w:rsid w:val="03532FA0"/>
    <w:rsid w:val="03C97692"/>
    <w:rsid w:val="05E256B5"/>
    <w:rsid w:val="07080BFE"/>
    <w:rsid w:val="07D562EE"/>
    <w:rsid w:val="092A2287"/>
    <w:rsid w:val="09FC6E08"/>
    <w:rsid w:val="0FAF16CA"/>
    <w:rsid w:val="14B45DD7"/>
    <w:rsid w:val="1779366E"/>
    <w:rsid w:val="17FC56FA"/>
    <w:rsid w:val="198C7FB7"/>
    <w:rsid w:val="1C087479"/>
    <w:rsid w:val="1FB87FCF"/>
    <w:rsid w:val="21362D6F"/>
    <w:rsid w:val="25480C35"/>
    <w:rsid w:val="27A27C58"/>
    <w:rsid w:val="2A5E4B9C"/>
    <w:rsid w:val="2A846423"/>
    <w:rsid w:val="2AB067B4"/>
    <w:rsid w:val="2D160913"/>
    <w:rsid w:val="2D9058C9"/>
    <w:rsid w:val="2FC17DC6"/>
    <w:rsid w:val="32B86836"/>
    <w:rsid w:val="32B94F6A"/>
    <w:rsid w:val="35BD49A4"/>
    <w:rsid w:val="375F33C3"/>
    <w:rsid w:val="3A11110A"/>
    <w:rsid w:val="40373FA8"/>
    <w:rsid w:val="43022DEE"/>
    <w:rsid w:val="45651598"/>
    <w:rsid w:val="490B0121"/>
    <w:rsid w:val="4916570F"/>
    <w:rsid w:val="4A486C43"/>
    <w:rsid w:val="4CFC5B4B"/>
    <w:rsid w:val="50E81899"/>
    <w:rsid w:val="526134DD"/>
    <w:rsid w:val="53105001"/>
    <w:rsid w:val="57966524"/>
    <w:rsid w:val="59ED410F"/>
    <w:rsid w:val="5ACC4A7E"/>
    <w:rsid w:val="5AF57280"/>
    <w:rsid w:val="5EC9262A"/>
    <w:rsid w:val="616C4E4B"/>
    <w:rsid w:val="63D9423B"/>
    <w:rsid w:val="64B33201"/>
    <w:rsid w:val="68216884"/>
    <w:rsid w:val="6D724F45"/>
    <w:rsid w:val="6E4A691E"/>
    <w:rsid w:val="733F0258"/>
    <w:rsid w:val="73704E39"/>
    <w:rsid w:val="7A0A0BD4"/>
    <w:rsid w:val="7B1B4AA7"/>
    <w:rsid w:val="7F974B9A"/>
    <w:rsid w:val="7FF1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styleId="a6">
    <w:name w:val="page number"/>
    <w:basedOn w:val="a0"/>
    <w:qFormat/>
  </w:style>
  <w:style w:type="paragraph" w:customStyle="1" w:styleId="Char0">
    <w:name w:val="Char"/>
    <w:basedOn w:val="a"/>
    <w:qFormat/>
    <w:rPr>
      <w:szCs w:val="24"/>
    </w:rPr>
  </w:style>
  <w:style w:type="paragraph" w:customStyle="1" w:styleId="p0">
    <w:name w:val="p0"/>
    <w:basedOn w:val="a"/>
    <w:qFormat/>
    <w:rPr>
      <w:szCs w:val="21"/>
    </w:rPr>
  </w:style>
  <w:style w:type="character" w:customStyle="1" w:styleId="Char">
    <w:name w:val="页眉 Char"/>
    <w:basedOn w:val="a0"/>
    <w:link w:val="a4"/>
    <w:qFormat/>
    <w:rPr>
      <w:sz w:val="18"/>
      <w:szCs w:val="18"/>
    </w:rPr>
  </w:style>
  <w:style w:type="paragraph" w:customStyle="1" w:styleId="Char1">
    <w:name w:val="Char"/>
    <w:basedOn w:val="a"/>
    <w:qFormat/>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styleId="a6">
    <w:name w:val="page number"/>
    <w:basedOn w:val="a0"/>
    <w:qFormat/>
  </w:style>
  <w:style w:type="paragraph" w:customStyle="1" w:styleId="Char0">
    <w:name w:val="Char"/>
    <w:basedOn w:val="a"/>
    <w:qFormat/>
    <w:rPr>
      <w:szCs w:val="24"/>
    </w:rPr>
  </w:style>
  <w:style w:type="paragraph" w:customStyle="1" w:styleId="p0">
    <w:name w:val="p0"/>
    <w:basedOn w:val="a"/>
    <w:qFormat/>
    <w:rPr>
      <w:szCs w:val="21"/>
    </w:rPr>
  </w:style>
  <w:style w:type="character" w:customStyle="1" w:styleId="Char">
    <w:name w:val="页眉 Char"/>
    <w:basedOn w:val="a0"/>
    <w:link w:val="a4"/>
    <w:qFormat/>
    <w:rPr>
      <w:sz w:val="18"/>
      <w:szCs w:val="18"/>
    </w:rPr>
  </w:style>
  <w:style w:type="paragraph" w:customStyle="1" w:styleId="Char1">
    <w:name w:val="Char"/>
    <w:basedOn w:val="a"/>
    <w:qForma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8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C0181-7FB5-42C5-AC23-6049DD60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571</Words>
  <Characters>3260</Characters>
  <Application>Microsoft Office Word</Application>
  <DocSecurity>0</DocSecurity>
  <Lines>27</Lines>
  <Paragraphs>7</Paragraphs>
  <ScaleCrop>false</ScaleCrop>
  <Company>微软中国</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陈慧倩</dc:creator>
  <cp:lastModifiedBy>Administrator</cp:lastModifiedBy>
  <cp:revision>19</cp:revision>
  <dcterms:created xsi:type="dcterms:W3CDTF">2022-02-24T08:34:00Z</dcterms:created>
  <dcterms:modified xsi:type="dcterms:W3CDTF">2023-09-18T03:49:00Z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