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4" w:lineRule="auto"/>
        <w:jc w:val="center"/>
        <w:rPr>
          <w:rFonts w:hint="eastAsia" w:ascii="方正小标宋简体" w:hAnsi="黑体" w:eastAsia="方正小标宋简体"/>
          <w:color w:val="000000"/>
          <w:sz w:val="44"/>
          <w:szCs w:val="44"/>
          <w:highlight w:val="white"/>
        </w:rPr>
      </w:pPr>
      <w:r>
        <w:rPr>
          <w:rFonts w:hint="eastAsia" w:ascii="方正小标宋简体" w:hAnsi="黑体" w:eastAsia="方正小标宋简体"/>
          <w:color w:val="000000"/>
          <w:sz w:val="44"/>
          <w:szCs w:val="44"/>
          <w:highlight w:val="white"/>
        </w:rPr>
        <w:t>兰溪市价格认证中心2021年度单位决算</w:t>
      </w:r>
    </w:p>
    <w:p>
      <w:pPr>
        <w:spacing w:line="324" w:lineRule="auto"/>
        <w:jc w:val="center"/>
        <w:rPr>
          <w:rFonts w:hint="eastAsia" w:ascii="黑体" w:hAnsi="黑体" w:eastAsia="黑体"/>
          <w:b/>
          <w:color w:val="000000"/>
          <w:sz w:val="28"/>
          <w:szCs w:val="28"/>
          <w:highlight w:val="white"/>
        </w:rPr>
      </w:pP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jc w:val="left"/>
        <w:textAlignment w:val="auto"/>
        <w:rPr>
          <w:rFonts w:hint="eastAsia" w:ascii="等线" w:hAnsi="等线" w:eastAsia="等线" w:cs="Times New Roman"/>
          <w:color w:val="auto"/>
          <w:sz w:val="28"/>
          <w:szCs w:val="24"/>
          <w:lang w:eastAsia="zh-CN"/>
        </w:rPr>
      </w:pPr>
      <w:r>
        <w:rPr>
          <w:rFonts w:hint="eastAsia" w:ascii="等线" w:hAnsi="等线" w:eastAsia="等线" w:cs="Times New Roman"/>
          <w:color w:val="000000"/>
          <w:sz w:val="28"/>
          <w:szCs w:val="24"/>
          <w:highlight w:val="white"/>
        </w:rPr>
        <w:t>一、概况...............................................</w:t>
      </w:r>
      <w:r>
        <w:rPr>
          <w:rFonts w:hint="eastAsia" w:ascii="等线" w:hAnsi="等线" w:eastAsia="等线" w:cs="Times New Roman"/>
          <w:color w:val="auto"/>
          <w:sz w:val="28"/>
          <w:szCs w:val="24"/>
        </w:rPr>
        <w:t xml:space="preserve">( </w:t>
      </w:r>
      <w:r>
        <w:rPr>
          <w:rFonts w:hint="eastAsia" w:ascii="等线" w:hAnsi="等线" w:eastAsia="等线" w:cs="Times New Roman"/>
          <w:color w:val="auto"/>
          <w:sz w:val="28"/>
          <w:szCs w:val="24"/>
          <w:lang w:val="en-US" w:eastAsia="zh-CN"/>
        </w:rPr>
        <w:t>2</w:t>
      </w:r>
      <w:r>
        <w:rPr>
          <w:rFonts w:hint="eastAsia" w:ascii="等线" w:hAnsi="等线" w:eastAsia="等线" w:cs="Times New Roman"/>
          <w:color w:val="auto"/>
          <w:sz w:val="28"/>
          <w:szCs w:val="24"/>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jc w:val="left"/>
        <w:textAlignment w:val="auto"/>
        <w:rPr>
          <w:rFonts w:hint="eastAsia" w:ascii="等线" w:hAnsi="等线" w:eastAsia="等线" w:cs="Times New Roman"/>
          <w:color w:val="auto"/>
          <w:sz w:val="28"/>
          <w:szCs w:val="24"/>
        </w:rPr>
      </w:pPr>
      <w:r>
        <w:rPr>
          <w:rFonts w:hint="eastAsia" w:ascii="等线" w:hAnsi="等线" w:eastAsia="等线" w:cs="Times New Roman"/>
          <w:color w:val="000000"/>
          <w:sz w:val="28"/>
          <w:szCs w:val="24"/>
          <w:highlight w:val="white"/>
        </w:rPr>
        <w:t>（一）部门（单位）职责.................</w:t>
      </w:r>
      <w:r>
        <w:rPr>
          <w:rFonts w:hint="eastAsia" w:ascii="等线" w:hAnsi="等线" w:eastAsia="等线" w:cs="Times New Roman"/>
          <w:color w:val="000000"/>
          <w:sz w:val="28"/>
          <w:szCs w:val="24"/>
          <w:highlight w:val="white"/>
          <w:lang w:val="en-US" w:eastAsia="zh-CN"/>
        </w:rPr>
        <w:t>.........</w:t>
      </w:r>
      <w:r>
        <w:rPr>
          <w:rFonts w:hint="eastAsia" w:ascii="等线" w:hAnsi="等线" w:eastAsia="等线" w:cs="Times New Roman"/>
          <w:color w:val="000000"/>
          <w:sz w:val="28"/>
          <w:szCs w:val="24"/>
          <w:highlight w:val="white"/>
        </w:rPr>
        <w:t>.....</w:t>
      </w:r>
      <w:r>
        <w:rPr>
          <w:rFonts w:hint="eastAsia" w:ascii="等线" w:hAnsi="等线" w:eastAsia="等线" w:cs="Times New Roman"/>
          <w:color w:val="000000"/>
          <w:sz w:val="28"/>
          <w:szCs w:val="24"/>
          <w:highlight w:val="white"/>
          <w:lang w:val="en-US" w:eastAsia="zh-CN"/>
        </w:rPr>
        <w:t>.</w:t>
      </w:r>
      <w:r>
        <w:rPr>
          <w:rFonts w:hint="eastAsia" w:ascii="等线" w:hAnsi="等线" w:eastAsia="等线" w:cs="Times New Roman"/>
          <w:color w:val="000000"/>
          <w:sz w:val="28"/>
          <w:szCs w:val="24"/>
          <w:highlight w:val="white"/>
        </w:rPr>
        <w:t>.</w:t>
      </w:r>
      <w:r>
        <w:rPr>
          <w:rFonts w:hint="eastAsia" w:ascii="等线" w:hAnsi="等线" w:eastAsia="等线" w:cs="Times New Roman"/>
          <w:color w:val="auto"/>
          <w:sz w:val="28"/>
          <w:szCs w:val="24"/>
        </w:rPr>
        <w:t xml:space="preserve">( </w:t>
      </w:r>
      <w:r>
        <w:rPr>
          <w:rFonts w:hint="eastAsia" w:ascii="等线" w:hAnsi="等线" w:eastAsia="等线" w:cs="Times New Roman"/>
          <w:color w:val="auto"/>
          <w:sz w:val="28"/>
          <w:szCs w:val="24"/>
          <w:lang w:val="en-US" w:eastAsia="zh-CN"/>
        </w:rPr>
        <w:t>2</w:t>
      </w:r>
      <w:r>
        <w:rPr>
          <w:rFonts w:hint="eastAsia" w:ascii="等线" w:hAnsi="等线" w:eastAsia="等线" w:cs="Times New Roman"/>
          <w:color w:val="auto"/>
          <w:sz w:val="28"/>
          <w:szCs w:val="24"/>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jc w:val="left"/>
        <w:textAlignment w:val="auto"/>
        <w:rPr>
          <w:rFonts w:hint="eastAsia" w:ascii="等线" w:hAnsi="等线" w:eastAsia="等线" w:cs="Times New Roman"/>
          <w:color w:val="auto"/>
          <w:sz w:val="28"/>
          <w:szCs w:val="24"/>
        </w:rPr>
      </w:pPr>
      <w:r>
        <w:rPr>
          <w:rFonts w:hint="eastAsia" w:ascii="等线" w:hAnsi="等线" w:eastAsia="等线" w:cs="Times New Roman"/>
          <w:color w:val="000000"/>
          <w:sz w:val="28"/>
          <w:szCs w:val="24"/>
          <w:highlight w:val="white"/>
        </w:rPr>
        <w:t>（二）机构设置..................................</w:t>
      </w:r>
      <w:r>
        <w:rPr>
          <w:rFonts w:hint="eastAsia" w:ascii="等线" w:hAnsi="等线" w:eastAsia="等线" w:cs="Times New Roman"/>
          <w:color w:val="000000"/>
          <w:sz w:val="28"/>
          <w:szCs w:val="24"/>
          <w:highlight w:val="white"/>
          <w:lang w:val="en-US" w:eastAsia="zh-CN"/>
        </w:rPr>
        <w:t>.....</w:t>
      </w:r>
      <w:r>
        <w:rPr>
          <w:rFonts w:hint="eastAsia" w:ascii="等线" w:hAnsi="等线" w:eastAsia="等线" w:cs="Times New Roman"/>
          <w:color w:val="000000"/>
          <w:sz w:val="28"/>
          <w:szCs w:val="24"/>
          <w:highlight w:val="white"/>
        </w:rPr>
        <w:t>..</w:t>
      </w:r>
      <w:r>
        <w:rPr>
          <w:rFonts w:hint="eastAsia" w:ascii="等线" w:hAnsi="等线" w:eastAsia="等线" w:cs="Times New Roman"/>
          <w:color w:val="auto"/>
          <w:sz w:val="28"/>
          <w:szCs w:val="24"/>
        </w:rPr>
        <w:t xml:space="preserve">( </w:t>
      </w:r>
      <w:r>
        <w:rPr>
          <w:rFonts w:hint="eastAsia" w:ascii="等线" w:hAnsi="等线" w:eastAsia="等线" w:cs="Times New Roman"/>
          <w:color w:val="auto"/>
          <w:sz w:val="28"/>
          <w:szCs w:val="24"/>
          <w:lang w:val="en-US" w:eastAsia="zh-CN"/>
        </w:rPr>
        <w:t>2</w:t>
      </w:r>
      <w:r>
        <w:rPr>
          <w:rFonts w:hint="eastAsia" w:ascii="等线" w:hAnsi="等线" w:eastAsia="等线" w:cs="Times New Roman"/>
          <w:color w:val="auto"/>
          <w:sz w:val="28"/>
          <w:szCs w:val="24"/>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jc w:val="left"/>
        <w:textAlignment w:val="auto"/>
        <w:rPr>
          <w:rFonts w:hint="eastAsia" w:ascii="等线" w:hAnsi="等线" w:eastAsia="等线" w:cs="Times New Roman"/>
          <w:color w:val="auto"/>
          <w:sz w:val="28"/>
          <w:szCs w:val="24"/>
        </w:rPr>
      </w:pPr>
      <w:r>
        <w:rPr>
          <w:rFonts w:hint="eastAsia" w:ascii="等线" w:hAnsi="等线" w:eastAsia="等线" w:cs="Times New Roman"/>
          <w:color w:val="auto"/>
          <w:sz w:val="28"/>
          <w:szCs w:val="24"/>
        </w:rPr>
        <w:t>二、</w:t>
      </w:r>
      <w:r>
        <w:rPr>
          <w:rFonts w:hint="eastAsia" w:ascii="等线" w:hAnsi="等线" w:eastAsia="等线" w:cs="Times New Roman"/>
          <w:color w:val="000000"/>
          <w:sz w:val="28"/>
          <w:szCs w:val="24"/>
          <w:highlight w:val="white"/>
          <w:lang w:eastAsia="zh-CN"/>
        </w:rPr>
        <w:t>2021年</w:t>
      </w:r>
      <w:r>
        <w:rPr>
          <w:rFonts w:hint="eastAsia" w:ascii="等线" w:hAnsi="等线" w:eastAsia="等线" w:cs="Times New Roman"/>
          <w:color w:val="000000"/>
          <w:sz w:val="28"/>
          <w:szCs w:val="24"/>
          <w:highlight w:val="white"/>
        </w:rPr>
        <w:t>度部门（单位）决算公开表......................</w:t>
      </w:r>
      <w:r>
        <w:rPr>
          <w:rFonts w:hint="eastAsia" w:ascii="等线" w:hAnsi="等线" w:eastAsia="等线" w:cs="Times New Roman"/>
          <w:color w:val="000000"/>
          <w:sz w:val="28"/>
          <w:szCs w:val="24"/>
          <w:highlight w:val="white"/>
          <w:lang w:val="en-US" w:eastAsia="zh-CN"/>
        </w:rPr>
        <w:t>.</w:t>
      </w:r>
      <w:r>
        <w:rPr>
          <w:rFonts w:hint="eastAsia" w:ascii="等线" w:hAnsi="等线" w:eastAsia="等线" w:cs="Times New Roman"/>
          <w:color w:val="auto"/>
          <w:sz w:val="28"/>
          <w:szCs w:val="24"/>
        </w:rPr>
        <w:t xml:space="preserve">( </w:t>
      </w:r>
      <w:r>
        <w:rPr>
          <w:rFonts w:hint="eastAsia" w:ascii="等线" w:hAnsi="等线" w:eastAsia="等线" w:cs="Times New Roman"/>
          <w:color w:val="auto"/>
          <w:sz w:val="28"/>
          <w:szCs w:val="24"/>
          <w:lang w:val="en-US" w:eastAsia="zh-CN"/>
        </w:rPr>
        <w:t>2</w:t>
      </w:r>
      <w:r>
        <w:rPr>
          <w:rFonts w:hint="eastAsia" w:ascii="等线" w:hAnsi="等线" w:eastAsia="等线" w:cs="Times New Roman"/>
          <w:color w:val="auto"/>
          <w:sz w:val="28"/>
          <w:szCs w:val="24"/>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jc w:val="left"/>
        <w:textAlignment w:val="auto"/>
        <w:rPr>
          <w:rFonts w:hint="eastAsia" w:ascii="等线" w:hAnsi="等线" w:eastAsia="等线" w:cs="Times New Roman"/>
          <w:color w:val="auto"/>
          <w:sz w:val="28"/>
          <w:szCs w:val="24"/>
          <w:lang w:val="en-US" w:eastAsia="zh-CN"/>
        </w:rPr>
      </w:pPr>
      <w:r>
        <w:rPr>
          <w:rFonts w:hint="eastAsia" w:ascii="等线" w:hAnsi="等线" w:eastAsia="等线" w:cs="Times New Roman"/>
          <w:color w:val="auto"/>
          <w:sz w:val="28"/>
          <w:szCs w:val="24"/>
          <w:highlight w:val="white"/>
          <w:lang w:val="zh-CN"/>
        </w:rPr>
        <w:t>三、</w:t>
      </w:r>
      <w:r>
        <w:rPr>
          <w:rFonts w:hint="eastAsia" w:ascii="等线" w:hAnsi="等线" w:eastAsia="等线" w:cs="Times New Roman"/>
          <w:color w:val="000000"/>
          <w:sz w:val="28"/>
          <w:szCs w:val="24"/>
          <w:highlight w:val="white"/>
          <w:lang w:val="en-US" w:eastAsia="zh-CN"/>
        </w:rPr>
        <w:t>2021年</w:t>
      </w:r>
      <w:r>
        <w:rPr>
          <w:rFonts w:hint="eastAsia" w:ascii="等线" w:hAnsi="等线" w:eastAsia="等线" w:cs="Times New Roman"/>
          <w:color w:val="000000"/>
          <w:sz w:val="28"/>
          <w:szCs w:val="24"/>
          <w:highlight w:val="white"/>
          <w:lang w:val="en-US"/>
        </w:rPr>
        <w:t>度部门（单位）决算情况</w:t>
      </w:r>
      <w:r>
        <w:rPr>
          <w:rFonts w:hint="eastAsia" w:ascii="等线" w:hAnsi="等线" w:eastAsia="等线" w:cs="Times New Roman"/>
          <w:color w:val="000000"/>
          <w:sz w:val="28"/>
          <w:szCs w:val="24"/>
          <w:highlight w:val="white"/>
          <w:lang w:val="en-US" w:eastAsia="zh-CN"/>
        </w:rPr>
        <w:t>说明</w:t>
      </w:r>
      <w:r>
        <w:rPr>
          <w:rFonts w:hint="eastAsia" w:ascii="等线" w:hAnsi="等线" w:eastAsia="等线" w:cs="Times New Roman"/>
          <w:color w:val="000000"/>
          <w:sz w:val="28"/>
          <w:szCs w:val="24"/>
          <w:highlight w:val="white"/>
          <w:lang w:val="en-US"/>
        </w:rPr>
        <w:t>.....................</w:t>
      </w:r>
      <w:r>
        <w:rPr>
          <w:rFonts w:hint="eastAsia" w:ascii="等线" w:hAnsi="等线" w:eastAsia="等线" w:cs="Times New Roman"/>
          <w:color w:val="auto"/>
          <w:sz w:val="28"/>
          <w:szCs w:val="24"/>
          <w:lang w:val="en-US"/>
        </w:rPr>
        <w:t xml:space="preserve">( </w:t>
      </w:r>
      <w:r>
        <w:rPr>
          <w:rFonts w:hint="eastAsia" w:ascii="等线" w:hAnsi="等线" w:eastAsia="等线" w:cs="Times New Roman"/>
          <w:color w:val="auto"/>
          <w:sz w:val="28"/>
          <w:szCs w:val="24"/>
          <w:lang w:val="en-US" w:eastAsia="zh-CN"/>
        </w:rPr>
        <w:t>2</w:t>
      </w:r>
      <w:r>
        <w:rPr>
          <w:rFonts w:hint="eastAsia" w:ascii="等线" w:hAnsi="等线" w:eastAsia="等线" w:cs="Times New Roman"/>
          <w:color w:val="auto"/>
          <w:sz w:val="28"/>
          <w:szCs w:val="24"/>
          <w:lang w:val="en-US"/>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jc w:val="left"/>
        <w:textAlignment w:val="auto"/>
        <w:rPr>
          <w:rFonts w:hint="eastAsia" w:ascii="等线" w:hAnsi="等线" w:eastAsia="等线" w:cs="Times New Roman"/>
          <w:color w:val="auto"/>
          <w:sz w:val="28"/>
          <w:szCs w:val="24"/>
          <w:lang w:val="en-US"/>
        </w:rPr>
      </w:pPr>
      <w:r>
        <w:rPr>
          <w:rFonts w:hint="eastAsia" w:ascii="等线" w:hAnsi="等线" w:eastAsia="等线" w:cs="Times New Roman"/>
          <w:color w:val="000000"/>
          <w:sz w:val="28"/>
          <w:szCs w:val="24"/>
          <w:highlight w:val="white"/>
          <w:lang w:val="en-US"/>
        </w:rPr>
        <w:t>（一）收入支出决算总体情况说明.........................</w:t>
      </w:r>
      <w:r>
        <w:rPr>
          <w:rFonts w:hint="eastAsia" w:ascii="等线" w:hAnsi="等线" w:eastAsia="等线" w:cs="Times New Roman"/>
          <w:color w:val="auto"/>
          <w:sz w:val="28"/>
          <w:szCs w:val="24"/>
          <w:lang w:val="en-US"/>
        </w:rPr>
        <w:t xml:space="preserve">( </w:t>
      </w:r>
      <w:r>
        <w:rPr>
          <w:rFonts w:hint="eastAsia" w:ascii="等线" w:hAnsi="等线" w:eastAsia="等线" w:cs="Times New Roman"/>
          <w:color w:val="auto"/>
          <w:sz w:val="28"/>
          <w:szCs w:val="24"/>
          <w:lang w:val="en-US" w:eastAsia="zh-CN"/>
        </w:rPr>
        <w:t>2</w:t>
      </w:r>
      <w:r>
        <w:rPr>
          <w:rFonts w:hint="eastAsia" w:ascii="等线" w:hAnsi="等线" w:eastAsia="等线" w:cs="Times New Roman"/>
          <w:color w:val="auto"/>
          <w:sz w:val="28"/>
          <w:szCs w:val="24"/>
          <w:lang w:val="en-US"/>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jc w:val="left"/>
        <w:textAlignment w:val="auto"/>
        <w:rPr>
          <w:rFonts w:hint="eastAsia" w:ascii="等线" w:hAnsi="等线" w:eastAsia="等线" w:cs="Times New Roman"/>
          <w:color w:val="auto"/>
          <w:sz w:val="28"/>
          <w:szCs w:val="24"/>
          <w:lang w:val="en-US"/>
        </w:rPr>
      </w:pPr>
      <w:r>
        <w:rPr>
          <w:rFonts w:hint="eastAsia" w:ascii="等线" w:hAnsi="等线" w:eastAsia="等线" w:cs="Times New Roman"/>
          <w:color w:val="000000"/>
          <w:sz w:val="28"/>
          <w:szCs w:val="24"/>
          <w:highlight w:val="white"/>
          <w:lang w:val="en-US"/>
        </w:rPr>
        <w:t>（二）收入决算情况说明..................</w:t>
      </w:r>
      <w:r>
        <w:rPr>
          <w:rFonts w:hint="eastAsia" w:ascii="等线" w:hAnsi="等线" w:eastAsia="等线" w:cs="Times New Roman"/>
          <w:color w:val="000000"/>
          <w:sz w:val="28"/>
          <w:szCs w:val="24"/>
          <w:highlight w:val="white"/>
          <w:lang w:val="en-US" w:eastAsia="zh-CN"/>
        </w:rPr>
        <w:t>......</w:t>
      </w:r>
      <w:r>
        <w:rPr>
          <w:rFonts w:hint="eastAsia" w:ascii="等线" w:hAnsi="等线" w:eastAsia="等线" w:cs="Times New Roman"/>
          <w:color w:val="000000"/>
          <w:sz w:val="28"/>
          <w:szCs w:val="24"/>
          <w:highlight w:val="white"/>
          <w:lang w:val="en-US"/>
        </w:rPr>
        <w:t>.</w:t>
      </w:r>
      <w:r>
        <w:rPr>
          <w:rFonts w:hint="eastAsia" w:ascii="等线" w:hAnsi="等线" w:eastAsia="等线" w:cs="Times New Roman"/>
          <w:color w:val="000000"/>
          <w:sz w:val="28"/>
          <w:szCs w:val="24"/>
          <w:highlight w:val="white"/>
          <w:lang w:val="en-US" w:eastAsia="zh-CN"/>
        </w:rPr>
        <w:t>.</w:t>
      </w:r>
      <w:r>
        <w:rPr>
          <w:rFonts w:hint="eastAsia" w:ascii="等线" w:hAnsi="等线" w:eastAsia="等线" w:cs="Times New Roman"/>
          <w:color w:val="000000"/>
          <w:sz w:val="28"/>
          <w:szCs w:val="24"/>
          <w:highlight w:val="white"/>
          <w:lang w:val="en-US"/>
        </w:rPr>
        <w:t>.......</w:t>
      </w:r>
      <w:r>
        <w:rPr>
          <w:rFonts w:hint="eastAsia" w:ascii="等线" w:hAnsi="等线" w:eastAsia="等线" w:cs="Times New Roman"/>
          <w:color w:val="auto"/>
          <w:sz w:val="28"/>
          <w:szCs w:val="24"/>
          <w:lang w:val="en-US"/>
        </w:rPr>
        <w:t xml:space="preserve">( </w:t>
      </w:r>
      <w:r>
        <w:rPr>
          <w:rFonts w:hint="eastAsia" w:ascii="等线" w:hAnsi="等线" w:eastAsia="等线" w:cs="Times New Roman"/>
          <w:color w:val="auto"/>
          <w:sz w:val="28"/>
          <w:szCs w:val="24"/>
          <w:lang w:val="en-US" w:eastAsia="zh-CN"/>
        </w:rPr>
        <w:t>2</w:t>
      </w:r>
      <w:r>
        <w:rPr>
          <w:rFonts w:hint="eastAsia" w:ascii="等线" w:hAnsi="等线" w:eastAsia="等线" w:cs="Times New Roman"/>
          <w:color w:val="auto"/>
          <w:sz w:val="28"/>
          <w:szCs w:val="24"/>
          <w:lang w:val="en-US"/>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jc w:val="left"/>
        <w:textAlignment w:val="auto"/>
        <w:rPr>
          <w:rFonts w:hint="eastAsia" w:ascii="等线" w:hAnsi="等线" w:eastAsia="等线" w:cs="Times New Roman"/>
          <w:color w:val="auto"/>
          <w:sz w:val="28"/>
          <w:szCs w:val="24"/>
          <w:lang w:val="en-US"/>
        </w:rPr>
      </w:pPr>
      <w:r>
        <w:rPr>
          <w:rFonts w:hint="eastAsia" w:ascii="等线" w:hAnsi="等线" w:eastAsia="等线" w:cs="Times New Roman"/>
          <w:color w:val="000000"/>
          <w:sz w:val="28"/>
          <w:szCs w:val="24"/>
          <w:highlight w:val="white"/>
          <w:lang w:val="en-US"/>
        </w:rPr>
        <w:t>（三）支出决算情况说明........................</w:t>
      </w:r>
      <w:r>
        <w:rPr>
          <w:rFonts w:hint="eastAsia" w:ascii="等线" w:hAnsi="等线" w:eastAsia="等线" w:cs="Times New Roman"/>
          <w:color w:val="000000"/>
          <w:sz w:val="28"/>
          <w:szCs w:val="24"/>
          <w:highlight w:val="white"/>
          <w:lang w:val="en-US" w:eastAsia="zh-CN"/>
        </w:rPr>
        <w:t>.</w:t>
      </w:r>
      <w:r>
        <w:rPr>
          <w:rFonts w:hint="eastAsia" w:ascii="等线" w:hAnsi="等线" w:eastAsia="等线" w:cs="Times New Roman"/>
          <w:color w:val="000000"/>
          <w:sz w:val="28"/>
          <w:szCs w:val="24"/>
          <w:highlight w:val="white"/>
          <w:lang w:val="en-US"/>
        </w:rPr>
        <w:t>........</w:t>
      </w:r>
      <w:r>
        <w:rPr>
          <w:rFonts w:hint="eastAsia" w:ascii="等线" w:hAnsi="等线" w:eastAsia="等线" w:cs="Times New Roman"/>
          <w:color w:val="auto"/>
          <w:sz w:val="28"/>
          <w:szCs w:val="24"/>
          <w:lang w:val="en-US"/>
        </w:rPr>
        <w:t xml:space="preserve">( </w:t>
      </w:r>
      <w:r>
        <w:rPr>
          <w:rFonts w:hint="eastAsia" w:ascii="等线" w:hAnsi="等线" w:eastAsia="等线" w:cs="Times New Roman"/>
          <w:color w:val="auto"/>
          <w:sz w:val="28"/>
          <w:szCs w:val="24"/>
          <w:lang w:val="en-US" w:eastAsia="zh-CN"/>
        </w:rPr>
        <w:t>2</w:t>
      </w:r>
      <w:r>
        <w:rPr>
          <w:rFonts w:hint="eastAsia" w:ascii="等线" w:hAnsi="等线" w:eastAsia="等线" w:cs="Times New Roman"/>
          <w:color w:val="auto"/>
          <w:sz w:val="28"/>
          <w:szCs w:val="24"/>
          <w:lang w:val="en-US"/>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jc w:val="left"/>
        <w:textAlignment w:val="auto"/>
        <w:rPr>
          <w:rFonts w:hint="eastAsia" w:ascii="等线" w:hAnsi="等线" w:eastAsia="等线" w:cs="Times New Roman"/>
          <w:color w:val="auto"/>
          <w:sz w:val="28"/>
          <w:szCs w:val="24"/>
          <w:lang w:val="en-US"/>
        </w:rPr>
      </w:pPr>
      <w:r>
        <w:rPr>
          <w:rFonts w:hint="eastAsia" w:ascii="等线" w:hAnsi="等线" w:eastAsia="等线" w:cs="Times New Roman"/>
          <w:color w:val="000000"/>
          <w:sz w:val="28"/>
          <w:szCs w:val="24"/>
          <w:highlight w:val="white"/>
          <w:lang w:val="en-US"/>
        </w:rPr>
        <w:t>（四）财政拨款收入支出决算总体情况说明..</w:t>
      </w:r>
      <w:r>
        <w:rPr>
          <w:rFonts w:hint="eastAsia" w:ascii="等线" w:hAnsi="等线" w:eastAsia="等线" w:cs="Times New Roman"/>
          <w:color w:val="000000"/>
          <w:sz w:val="28"/>
          <w:szCs w:val="24"/>
          <w:highlight w:val="white"/>
          <w:lang w:val="en-US" w:eastAsia="zh-CN"/>
        </w:rPr>
        <w:t>.....</w:t>
      </w:r>
      <w:r>
        <w:rPr>
          <w:rFonts w:hint="eastAsia" w:ascii="等线" w:hAnsi="等线" w:eastAsia="等线" w:cs="Times New Roman"/>
          <w:color w:val="000000"/>
          <w:sz w:val="28"/>
          <w:szCs w:val="24"/>
          <w:highlight w:val="white"/>
          <w:lang w:val="en-US"/>
        </w:rPr>
        <w:t>......</w:t>
      </w:r>
      <w:r>
        <w:rPr>
          <w:rFonts w:hint="eastAsia" w:ascii="等线" w:hAnsi="等线" w:eastAsia="等线" w:cs="Times New Roman"/>
          <w:color w:val="000000"/>
          <w:sz w:val="28"/>
          <w:szCs w:val="24"/>
          <w:highlight w:val="white"/>
          <w:lang w:val="en-US" w:eastAsia="zh-CN"/>
        </w:rPr>
        <w:t>.</w:t>
      </w:r>
      <w:r>
        <w:rPr>
          <w:rFonts w:hint="eastAsia" w:ascii="等线" w:hAnsi="等线" w:eastAsia="等线" w:cs="Times New Roman"/>
          <w:color w:val="000000"/>
          <w:sz w:val="28"/>
          <w:szCs w:val="24"/>
          <w:highlight w:val="white"/>
          <w:lang w:val="en-US"/>
        </w:rPr>
        <w:t>...</w:t>
      </w:r>
      <w:r>
        <w:rPr>
          <w:rFonts w:hint="eastAsia" w:ascii="等线" w:hAnsi="等线" w:eastAsia="等线" w:cs="Times New Roman"/>
          <w:color w:val="auto"/>
          <w:sz w:val="28"/>
          <w:szCs w:val="24"/>
          <w:lang w:val="en-US"/>
        </w:rPr>
        <w:t xml:space="preserve">( </w:t>
      </w:r>
      <w:r>
        <w:rPr>
          <w:rFonts w:hint="eastAsia" w:ascii="等线" w:hAnsi="等线" w:eastAsia="等线" w:cs="Times New Roman"/>
          <w:color w:val="auto"/>
          <w:sz w:val="28"/>
          <w:szCs w:val="24"/>
          <w:lang w:val="en-US" w:eastAsia="zh-CN"/>
        </w:rPr>
        <w:t>3</w:t>
      </w:r>
      <w:r>
        <w:rPr>
          <w:rFonts w:hint="eastAsia" w:ascii="等线" w:hAnsi="等线" w:eastAsia="等线" w:cs="Times New Roman"/>
          <w:color w:val="auto"/>
          <w:sz w:val="28"/>
          <w:szCs w:val="24"/>
          <w:lang w:val="en-US"/>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jc w:val="left"/>
        <w:textAlignment w:val="auto"/>
        <w:rPr>
          <w:rFonts w:hint="eastAsia" w:ascii="等线" w:hAnsi="等线" w:eastAsia="等线" w:cs="Times New Roman"/>
          <w:color w:val="auto"/>
          <w:sz w:val="28"/>
          <w:szCs w:val="24"/>
          <w:lang w:val="en-US"/>
        </w:rPr>
      </w:pPr>
      <w:r>
        <w:rPr>
          <w:rFonts w:hint="eastAsia" w:ascii="等线" w:hAnsi="等线" w:eastAsia="等线" w:cs="Times New Roman"/>
          <w:color w:val="000000"/>
          <w:sz w:val="28"/>
          <w:szCs w:val="24"/>
          <w:highlight w:val="white"/>
          <w:lang w:val="en-US"/>
        </w:rPr>
        <w:t>（五）一般公共预算财政拨款支出决算情况说明</w:t>
      </w:r>
      <w:r>
        <w:rPr>
          <w:rFonts w:hint="eastAsia" w:ascii="等线" w:hAnsi="等线" w:eastAsia="等线" w:cs="Times New Roman"/>
          <w:color w:val="000000"/>
          <w:sz w:val="28"/>
          <w:szCs w:val="24"/>
          <w:highlight w:val="white"/>
          <w:lang w:val="en-US" w:eastAsia="zh-CN"/>
        </w:rPr>
        <w:t>..</w:t>
      </w:r>
      <w:r>
        <w:rPr>
          <w:rFonts w:hint="eastAsia" w:ascii="等线" w:hAnsi="等线" w:eastAsia="等线" w:cs="Times New Roman"/>
          <w:color w:val="000000"/>
          <w:sz w:val="28"/>
          <w:szCs w:val="24"/>
          <w:highlight w:val="white"/>
          <w:lang w:val="en-US"/>
        </w:rPr>
        <w:t>.......</w:t>
      </w:r>
      <w:r>
        <w:rPr>
          <w:rFonts w:hint="eastAsia" w:ascii="等线" w:hAnsi="等线" w:eastAsia="等线" w:cs="Times New Roman"/>
          <w:color w:val="000000"/>
          <w:sz w:val="28"/>
          <w:szCs w:val="24"/>
          <w:highlight w:val="white"/>
          <w:lang w:val="en-US" w:eastAsia="zh-CN"/>
        </w:rPr>
        <w:t>.</w:t>
      </w:r>
      <w:r>
        <w:rPr>
          <w:rFonts w:hint="eastAsia" w:ascii="等线" w:hAnsi="等线" w:eastAsia="等线" w:cs="Times New Roman"/>
          <w:color w:val="000000"/>
          <w:sz w:val="28"/>
          <w:szCs w:val="24"/>
          <w:highlight w:val="white"/>
          <w:lang w:val="en-US"/>
        </w:rPr>
        <w:t>...</w:t>
      </w:r>
      <w:r>
        <w:rPr>
          <w:rFonts w:hint="eastAsia" w:ascii="等线" w:hAnsi="等线" w:eastAsia="等线" w:cs="Times New Roman"/>
          <w:color w:val="auto"/>
          <w:sz w:val="28"/>
          <w:szCs w:val="24"/>
          <w:lang w:val="en-US"/>
        </w:rPr>
        <w:t xml:space="preserve">( </w:t>
      </w:r>
      <w:r>
        <w:rPr>
          <w:rFonts w:hint="eastAsia" w:ascii="等线" w:hAnsi="等线" w:eastAsia="等线" w:cs="Times New Roman"/>
          <w:color w:val="auto"/>
          <w:sz w:val="28"/>
          <w:szCs w:val="24"/>
          <w:lang w:val="en-US" w:eastAsia="zh-CN"/>
        </w:rPr>
        <w:t>3</w:t>
      </w:r>
      <w:r>
        <w:rPr>
          <w:rFonts w:hint="eastAsia" w:ascii="等线" w:hAnsi="等线" w:eastAsia="等线" w:cs="Times New Roman"/>
          <w:color w:val="auto"/>
          <w:sz w:val="28"/>
          <w:szCs w:val="24"/>
          <w:lang w:val="en-US"/>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jc w:val="left"/>
        <w:textAlignment w:val="auto"/>
        <w:rPr>
          <w:rFonts w:hint="eastAsia" w:ascii="等线" w:hAnsi="等线" w:eastAsia="等线" w:cs="Times New Roman"/>
          <w:color w:val="auto"/>
          <w:sz w:val="28"/>
          <w:szCs w:val="24"/>
          <w:lang w:val="en-US"/>
        </w:rPr>
      </w:pPr>
      <w:r>
        <w:rPr>
          <w:rFonts w:hint="eastAsia" w:ascii="等线" w:hAnsi="等线" w:eastAsia="等线" w:cs="Times New Roman"/>
          <w:color w:val="000000"/>
          <w:sz w:val="28"/>
          <w:szCs w:val="24"/>
          <w:highlight w:val="white"/>
          <w:lang w:val="en-US"/>
        </w:rPr>
        <w:t>（六）一般公共预算财政拨款基本支出决算情况说明.........</w:t>
      </w:r>
      <w:r>
        <w:rPr>
          <w:rFonts w:hint="eastAsia" w:ascii="等线" w:hAnsi="等线" w:eastAsia="等线" w:cs="Times New Roman"/>
          <w:color w:val="auto"/>
          <w:sz w:val="28"/>
          <w:szCs w:val="24"/>
          <w:lang w:val="en-US"/>
        </w:rPr>
        <w:t xml:space="preserve">( </w:t>
      </w:r>
      <w:r>
        <w:rPr>
          <w:rFonts w:hint="eastAsia" w:ascii="等线" w:hAnsi="等线" w:eastAsia="等线" w:cs="Times New Roman"/>
          <w:color w:val="auto"/>
          <w:sz w:val="28"/>
          <w:szCs w:val="24"/>
          <w:lang w:val="en-US" w:eastAsia="zh-CN"/>
        </w:rPr>
        <w:t xml:space="preserve">4 </w:t>
      </w:r>
      <w:r>
        <w:rPr>
          <w:rFonts w:hint="eastAsia" w:ascii="等线" w:hAnsi="等线" w:eastAsia="等线" w:cs="Times New Roman"/>
          <w:color w:val="auto"/>
          <w:sz w:val="28"/>
          <w:szCs w:val="24"/>
          <w:lang w:val="en-US"/>
        </w:rPr>
        <w:t>)</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jc w:val="left"/>
        <w:textAlignment w:val="auto"/>
        <w:rPr>
          <w:rFonts w:hint="eastAsia" w:ascii="等线" w:hAnsi="等线" w:eastAsia="等线" w:cs="Times New Roman"/>
          <w:color w:val="auto"/>
          <w:sz w:val="28"/>
          <w:szCs w:val="24"/>
          <w:lang w:val="en-US"/>
        </w:rPr>
      </w:pPr>
      <w:r>
        <w:rPr>
          <w:rFonts w:hint="eastAsia" w:ascii="等线" w:hAnsi="等线" w:eastAsia="等线" w:cs="Times New Roman"/>
          <w:color w:val="000000"/>
          <w:sz w:val="28"/>
          <w:szCs w:val="24"/>
          <w:highlight w:val="white"/>
          <w:lang w:val="en-US"/>
        </w:rPr>
        <w:t>（七）政府性基金预算财政拨款支出</w:t>
      </w:r>
      <w:r>
        <w:rPr>
          <w:rFonts w:hint="eastAsia" w:ascii="等线" w:hAnsi="等线" w:eastAsia="等线" w:cs="Times New Roman"/>
          <w:color w:val="000000"/>
          <w:sz w:val="28"/>
          <w:szCs w:val="24"/>
          <w:highlight w:val="white"/>
          <w:lang w:val="zh-CN"/>
        </w:rPr>
        <w:t>决算</w:t>
      </w:r>
      <w:r>
        <w:rPr>
          <w:rFonts w:hint="eastAsia" w:ascii="等线" w:hAnsi="等线" w:eastAsia="等线" w:cs="Times New Roman"/>
          <w:color w:val="000000"/>
          <w:sz w:val="28"/>
          <w:szCs w:val="24"/>
          <w:highlight w:val="white"/>
          <w:lang w:val="en-US"/>
        </w:rPr>
        <w:t>总体情况说明.......</w:t>
      </w:r>
      <w:r>
        <w:rPr>
          <w:rFonts w:hint="eastAsia" w:ascii="等线" w:hAnsi="等线" w:eastAsia="等线" w:cs="Times New Roman"/>
          <w:color w:val="auto"/>
          <w:sz w:val="28"/>
          <w:szCs w:val="24"/>
          <w:lang w:val="en-US"/>
        </w:rPr>
        <w:t xml:space="preserve">( </w:t>
      </w:r>
      <w:r>
        <w:rPr>
          <w:rFonts w:hint="eastAsia" w:ascii="等线" w:hAnsi="等线" w:eastAsia="等线" w:cs="Times New Roman"/>
          <w:color w:val="auto"/>
          <w:sz w:val="28"/>
          <w:szCs w:val="24"/>
          <w:lang w:val="en-US" w:eastAsia="zh-CN"/>
        </w:rPr>
        <w:t>5</w:t>
      </w:r>
      <w:r>
        <w:rPr>
          <w:rFonts w:hint="eastAsia" w:ascii="等线" w:hAnsi="等线" w:eastAsia="等线" w:cs="Times New Roman"/>
          <w:color w:val="auto"/>
          <w:sz w:val="28"/>
          <w:szCs w:val="24"/>
          <w:lang w:val="en-US"/>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jc w:val="left"/>
        <w:textAlignment w:val="auto"/>
        <w:rPr>
          <w:rFonts w:hint="eastAsia" w:ascii="等线" w:hAnsi="等线" w:eastAsia="等线" w:cs="Times New Roman"/>
          <w:color w:val="000000"/>
          <w:sz w:val="28"/>
          <w:szCs w:val="24"/>
          <w:highlight w:val="white"/>
          <w:lang w:val="en-US"/>
        </w:rPr>
      </w:pPr>
      <w:r>
        <w:rPr>
          <w:rFonts w:hint="eastAsia" w:ascii="等线" w:hAnsi="等线" w:eastAsia="等线" w:cs="Times New Roman"/>
          <w:color w:val="000000"/>
          <w:sz w:val="28"/>
          <w:szCs w:val="24"/>
          <w:highlight w:val="white"/>
          <w:lang w:val="en-US"/>
        </w:rPr>
        <w:t>（八）国有资本经营预算财政拨款支出</w:t>
      </w:r>
      <w:r>
        <w:rPr>
          <w:rFonts w:hint="eastAsia" w:ascii="等线" w:hAnsi="等线" w:eastAsia="等线" w:cs="Times New Roman"/>
          <w:color w:val="000000"/>
          <w:sz w:val="28"/>
          <w:szCs w:val="24"/>
          <w:highlight w:val="white"/>
          <w:lang w:val="zh-CN"/>
        </w:rPr>
        <w:t>决算</w:t>
      </w:r>
      <w:r>
        <w:rPr>
          <w:rFonts w:hint="eastAsia" w:ascii="等线" w:hAnsi="等线" w:eastAsia="等线" w:cs="Times New Roman"/>
          <w:color w:val="000000"/>
          <w:sz w:val="28"/>
          <w:szCs w:val="24"/>
          <w:highlight w:val="white"/>
          <w:lang w:val="en-US"/>
        </w:rPr>
        <w:t>总体情况说明.....</w:t>
      </w:r>
      <w:r>
        <w:rPr>
          <w:rFonts w:hint="eastAsia" w:ascii="等线" w:hAnsi="等线" w:eastAsia="等线" w:cs="Times New Roman"/>
          <w:color w:val="auto"/>
          <w:sz w:val="28"/>
          <w:szCs w:val="24"/>
          <w:lang w:val="en-US"/>
        </w:rPr>
        <w:t xml:space="preserve">( </w:t>
      </w:r>
      <w:r>
        <w:rPr>
          <w:rFonts w:hint="eastAsia" w:ascii="等线" w:hAnsi="等线" w:eastAsia="等线" w:cs="Times New Roman"/>
          <w:color w:val="auto"/>
          <w:sz w:val="28"/>
          <w:szCs w:val="24"/>
          <w:lang w:val="en-US" w:eastAsia="zh-CN"/>
        </w:rPr>
        <w:t>5</w:t>
      </w:r>
      <w:r>
        <w:rPr>
          <w:rFonts w:hint="eastAsia" w:ascii="等线" w:hAnsi="等线" w:eastAsia="等线" w:cs="Times New Roman"/>
          <w:color w:val="auto"/>
          <w:sz w:val="28"/>
          <w:szCs w:val="24"/>
          <w:lang w:val="en-US"/>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jc w:val="left"/>
        <w:textAlignment w:val="auto"/>
        <w:rPr>
          <w:rFonts w:hint="eastAsia" w:ascii="等线" w:hAnsi="等线" w:eastAsia="等线" w:cs="Times New Roman"/>
          <w:color w:val="000000"/>
          <w:sz w:val="28"/>
          <w:szCs w:val="24"/>
          <w:highlight w:val="white"/>
          <w:lang w:val="en-US"/>
        </w:rPr>
      </w:pPr>
      <w:r>
        <w:rPr>
          <w:rFonts w:hint="eastAsia" w:ascii="等线" w:hAnsi="等线" w:eastAsia="等线" w:cs="Times New Roman"/>
          <w:color w:val="000000"/>
          <w:sz w:val="28"/>
          <w:szCs w:val="24"/>
          <w:highlight w:val="white"/>
          <w:lang w:val="en-US"/>
        </w:rPr>
        <w:t>（九）一般公共预算财政拨款“三公”经费支出决算情况说明.</w:t>
      </w:r>
      <w:r>
        <w:rPr>
          <w:rFonts w:hint="eastAsia" w:ascii="等线" w:hAnsi="等线" w:eastAsia="等线" w:cs="Times New Roman"/>
          <w:color w:val="auto"/>
          <w:sz w:val="28"/>
          <w:szCs w:val="24"/>
          <w:lang w:val="en-US"/>
        </w:rPr>
        <w:t xml:space="preserve">( </w:t>
      </w:r>
      <w:r>
        <w:rPr>
          <w:rFonts w:hint="eastAsia" w:ascii="等线" w:hAnsi="等线" w:eastAsia="等线" w:cs="Times New Roman"/>
          <w:color w:val="auto"/>
          <w:sz w:val="28"/>
          <w:szCs w:val="24"/>
          <w:lang w:val="en-US" w:eastAsia="zh-CN"/>
        </w:rPr>
        <w:t>5</w:t>
      </w:r>
      <w:r>
        <w:rPr>
          <w:rFonts w:hint="eastAsia" w:ascii="等线" w:hAnsi="等线" w:eastAsia="等线" w:cs="Times New Roman"/>
          <w:color w:val="auto"/>
          <w:sz w:val="28"/>
          <w:szCs w:val="24"/>
          <w:lang w:val="en-US"/>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jc w:val="left"/>
        <w:textAlignment w:val="auto"/>
        <w:rPr>
          <w:rFonts w:hint="eastAsia" w:ascii="等线" w:hAnsi="等线" w:eastAsia="等线" w:cs="Times New Roman"/>
          <w:color w:val="auto"/>
          <w:sz w:val="28"/>
          <w:szCs w:val="24"/>
          <w:lang w:val="en-US"/>
        </w:rPr>
      </w:pPr>
      <w:r>
        <w:rPr>
          <w:rFonts w:hint="eastAsia" w:ascii="等线" w:hAnsi="等线" w:eastAsia="等线" w:cs="Times New Roman"/>
          <w:color w:val="000000"/>
          <w:sz w:val="28"/>
          <w:szCs w:val="24"/>
          <w:highlight w:val="white"/>
          <w:lang w:val="en-US"/>
        </w:rPr>
        <w:t>（十）机关运行经费支出说明................</w:t>
      </w:r>
      <w:r>
        <w:rPr>
          <w:rFonts w:hint="eastAsia" w:ascii="等线" w:hAnsi="等线" w:eastAsia="等线" w:cs="Times New Roman"/>
          <w:color w:val="000000"/>
          <w:sz w:val="28"/>
          <w:szCs w:val="24"/>
          <w:highlight w:val="white"/>
          <w:lang w:val="en-US" w:eastAsia="zh-CN"/>
        </w:rPr>
        <w:t>.</w:t>
      </w:r>
      <w:r>
        <w:rPr>
          <w:rFonts w:hint="eastAsia" w:ascii="等线" w:hAnsi="等线" w:eastAsia="等线" w:cs="Times New Roman"/>
          <w:color w:val="000000"/>
          <w:sz w:val="28"/>
          <w:szCs w:val="24"/>
          <w:highlight w:val="white"/>
          <w:lang w:val="en-US"/>
        </w:rPr>
        <w:t>............</w:t>
      </w:r>
      <w:r>
        <w:rPr>
          <w:rFonts w:hint="eastAsia" w:ascii="等线" w:hAnsi="等线" w:eastAsia="等线" w:cs="Times New Roman"/>
          <w:color w:val="auto"/>
          <w:sz w:val="28"/>
          <w:szCs w:val="24"/>
          <w:lang w:val="en-US"/>
        </w:rPr>
        <w:t xml:space="preserve">( </w:t>
      </w:r>
      <w:r>
        <w:rPr>
          <w:rFonts w:hint="eastAsia" w:ascii="等线" w:hAnsi="等线" w:eastAsia="等线" w:cs="Times New Roman"/>
          <w:color w:val="auto"/>
          <w:sz w:val="28"/>
          <w:szCs w:val="24"/>
          <w:lang w:val="en-US" w:eastAsia="zh-CN"/>
        </w:rPr>
        <w:t>6</w:t>
      </w:r>
      <w:r>
        <w:rPr>
          <w:rFonts w:hint="eastAsia" w:ascii="等线" w:hAnsi="等线" w:eastAsia="等线" w:cs="Times New Roman"/>
          <w:color w:val="auto"/>
          <w:sz w:val="28"/>
          <w:szCs w:val="24"/>
          <w:lang w:val="en-US"/>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jc w:val="left"/>
        <w:textAlignment w:val="auto"/>
        <w:rPr>
          <w:rFonts w:hint="eastAsia" w:ascii="等线" w:hAnsi="等线" w:eastAsia="等线" w:cs="Times New Roman"/>
          <w:color w:val="000000"/>
          <w:sz w:val="28"/>
          <w:szCs w:val="24"/>
          <w:highlight w:val="white"/>
          <w:lang w:val="en-US"/>
        </w:rPr>
      </w:pPr>
      <w:r>
        <w:rPr>
          <w:rFonts w:hint="eastAsia" w:ascii="等线" w:hAnsi="等线" w:eastAsia="等线" w:cs="Times New Roman"/>
          <w:color w:val="000000"/>
          <w:sz w:val="28"/>
          <w:szCs w:val="24"/>
          <w:highlight w:val="white"/>
          <w:lang w:val="en-US"/>
        </w:rPr>
        <w:t>（十一）政府采购支出说明..................</w:t>
      </w:r>
      <w:r>
        <w:rPr>
          <w:rFonts w:hint="eastAsia" w:ascii="等线" w:hAnsi="等线" w:eastAsia="等线" w:cs="Times New Roman"/>
          <w:color w:val="000000"/>
          <w:sz w:val="28"/>
          <w:szCs w:val="24"/>
          <w:highlight w:val="white"/>
          <w:lang w:val="en-US" w:eastAsia="zh-CN"/>
        </w:rPr>
        <w:t>.</w:t>
      </w:r>
      <w:r>
        <w:rPr>
          <w:rFonts w:hint="eastAsia" w:ascii="等线" w:hAnsi="等线" w:eastAsia="等线" w:cs="Times New Roman"/>
          <w:color w:val="000000"/>
          <w:sz w:val="28"/>
          <w:szCs w:val="24"/>
          <w:highlight w:val="white"/>
          <w:lang w:val="en-US"/>
        </w:rPr>
        <w:t>............</w:t>
      </w:r>
      <w:r>
        <w:rPr>
          <w:rFonts w:hint="eastAsia" w:ascii="等线" w:hAnsi="等线" w:eastAsia="等线" w:cs="Times New Roman"/>
          <w:color w:val="auto"/>
          <w:sz w:val="28"/>
          <w:szCs w:val="24"/>
          <w:lang w:val="en-US"/>
        </w:rPr>
        <w:t xml:space="preserve">( </w:t>
      </w:r>
      <w:r>
        <w:rPr>
          <w:rFonts w:hint="eastAsia" w:ascii="等线" w:hAnsi="等线" w:eastAsia="等线" w:cs="Times New Roman"/>
          <w:color w:val="auto"/>
          <w:sz w:val="28"/>
          <w:szCs w:val="24"/>
          <w:lang w:val="en-US" w:eastAsia="zh-CN"/>
        </w:rPr>
        <w:t>7</w:t>
      </w:r>
      <w:r>
        <w:rPr>
          <w:rFonts w:hint="eastAsia" w:ascii="等线" w:hAnsi="等线" w:eastAsia="等线" w:cs="Times New Roman"/>
          <w:color w:val="auto"/>
          <w:sz w:val="28"/>
          <w:szCs w:val="24"/>
          <w:lang w:val="en-US"/>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jc w:val="left"/>
        <w:textAlignment w:val="auto"/>
        <w:rPr>
          <w:rFonts w:hint="eastAsia" w:ascii="等线" w:hAnsi="等线" w:eastAsia="等线" w:cs="Times New Roman"/>
          <w:color w:val="000000"/>
          <w:sz w:val="28"/>
          <w:szCs w:val="24"/>
          <w:highlight w:val="white"/>
          <w:lang w:val="en-US"/>
        </w:rPr>
      </w:pPr>
      <w:r>
        <w:rPr>
          <w:rFonts w:hint="eastAsia" w:ascii="等线" w:hAnsi="等线" w:eastAsia="等线" w:cs="Times New Roman"/>
          <w:color w:val="000000"/>
          <w:sz w:val="28"/>
          <w:szCs w:val="24"/>
          <w:highlight w:val="white"/>
          <w:lang w:val="en-US"/>
        </w:rPr>
        <w:t>（十二）国有资产占有情况说明..</w:t>
      </w:r>
      <w:r>
        <w:rPr>
          <w:rFonts w:hint="eastAsia" w:ascii="等线" w:hAnsi="等线" w:eastAsia="等线" w:cs="Times New Roman"/>
          <w:color w:val="000000"/>
          <w:sz w:val="28"/>
          <w:szCs w:val="24"/>
          <w:highlight w:val="white"/>
          <w:lang w:val="en-US" w:eastAsia="zh-CN"/>
        </w:rPr>
        <w:t>......</w:t>
      </w:r>
      <w:r>
        <w:rPr>
          <w:rFonts w:hint="eastAsia" w:ascii="等线" w:hAnsi="等线" w:eastAsia="等线" w:cs="Times New Roman"/>
          <w:color w:val="000000"/>
          <w:sz w:val="28"/>
          <w:szCs w:val="24"/>
          <w:highlight w:val="white"/>
          <w:lang w:val="en-US"/>
        </w:rPr>
        <w:t>...................</w:t>
      </w:r>
      <w:r>
        <w:rPr>
          <w:rFonts w:hint="eastAsia" w:ascii="等线" w:hAnsi="等线" w:eastAsia="等线" w:cs="Times New Roman"/>
          <w:color w:val="auto"/>
          <w:sz w:val="28"/>
          <w:szCs w:val="24"/>
          <w:lang w:val="en-US"/>
        </w:rPr>
        <w:t xml:space="preserve">( </w:t>
      </w:r>
      <w:r>
        <w:rPr>
          <w:rFonts w:hint="eastAsia" w:ascii="等线" w:hAnsi="等线" w:eastAsia="等线" w:cs="Times New Roman"/>
          <w:color w:val="auto"/>
          <w:sz w:val="28"/>
          <w:szCs w:val="24"/>
          <w:lang w:val="en-US" w:eastAsia="zh-CN"/>
        </w:rPr>
        <w:t>7</w:t>
      </w:r>
      <w:r>
        <w:rPr>
          <w:rFonts w:hint="eastAsia" w:ascii="等线" w:hAnsi="等线" w:eastAsia="等线" w:cs="Times New Roman"/>
          <w:color w:val="auto"/>
          <w:sz w:val="28"/>
          <w:szCs w:val="24"/>
          <w:lang w:val="en-US"/>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jc w:val="left"/>
        <w:textAlignment w:val="auto"/>
        <w:rPr>
          <w:rFonts w:hint="eastAsia" w:ascii="等线" w:hAnsi="等线" w:eastAsia="等线" w:cs="Times New Roman"/>
          <w:color w:val="auto"/>
          <w:sz w:val="28"/>
          <w:szCs w:val="24"/>
          <w:lang w:val="en-US"/>
        </w:rPr>
      </w:pPr>
      <w:r>
        <w:rPr>
          <w:rFonts w:hint="eastAsia" w:ascii="等线" w:hAnsi="等线" w:eastAsia="等线" w:cs="Times New Roman"/>
          <w:color w:val="000000"/>
          <w:sz w:val="28"/>
          <w:szCs w:val="24"/>
          <w:highlight w:val="white"/>
          <w:lang w:val="en-US"/>
        </w:rPr>
        <w:t>（十三）预算绩效情况说明.......</w:t>
      </w:r>
      <w:r>
        <w:rPr>
          <w:rFonts w:hint="eastAsia" w:ascii="等线" w:hAnsi="等线" w:eastAsia="等线" w:cs="Times New Roman"/>
          <w:color w:val="000000"/>
          <w:sz w:val="28"/>
          <w:szCs w:val="24"/>
          <w:highlight w:val="white"/>
          <w:lang w:val="en-US" w:eastAsia="zh-CN"/>
        </w:rPr>
        <w:t>.</w:t>
      </w:r>
      <w:r>
        <w:rPr>
          <w:rFonts w:hint="eastAsia" w:ascii="等线" w:hAnsi="等线" w:eastAsia="等线" w:cs="Times New Roman"/>
          <w:color w:val="000000"/>
          <w:sz w:val="28"/>
          <w:szCs w:val="24"/>
          <w:highlight w:val="white"/>
          <w:lang w:val="en-US"/>
        </w:rPr>
        <w:t>.......................</w:t>
      </w:r>
      <w:r>
        <w:rPr>
          <w:rFonts w:hint="eastAsia" w:ascii="等线" w:hAnsi="等线" w:eastAsia="等线" w:cs="Times New Roman"/>
          <w:color w:val="auto"/>
          <w:sz w:val="28"/>
          <w:szCs w:val="24"/>
          <w:lang w:val="en-US"/>
        </w:rPr>
        <w:t xml:space="preserve">( </w:t>
      </w:r>
      <w:r>
        <w:rPr>
          <w:rFonts w:hint="eastAsia" w:ascii="等线" w:hAnsi="等线" w:eastAsia="等线" w:cs="Times New Roman"/>
          <w:color w:val="auto"/>
          <w:sz w:val="28"/>
          <w:szCs w:val="24"/>
          <w:lang w:val="en-US" w:eastAsia="zh-CN"/>
        </w:rPr>
        <w:t>7</w:t>
      </w:r>
      <w:r>
        <w:rPr>
          <w:rFonts w:hint="eastAsia" w:ascii="等线" w:hAnsi="等线" w:eastAsia="等线" w:cs="Times New Roman"/>
          <w:color w:val="auto"/>
          <w:sz w:val="28"/>
          <w:szCs w:val="24"/>
          <w:lang w:val="en-US"/>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jc w:val="left"/>
        <w:textAlignment w:val="auto"/>
        <w:rPr>
          <w:rFonts w:hint="eastAsia" w:ascii="等线" w:hAnsi="等线" w:eastAsia="等线" w:cs="Times New Roman"/>
          <w:color w:val="auto"/>
          <w:sz w:val="28"/>
          <w:szCs w:val="24"/>
          <w:lang w:val="en-US"/>
        </w:rPr>
      </w:pPr>
      <w:r>
        <w:rPr>
          <w:rFonts w:hint="eastAsia" w:ascii="等线" w:hAnsi="等线" w:eastAsia="等线" w:cs="Times New Roman"/>
          <w:color w:val="000000"/>
          <w:sz w:val="28"/>
          <w:szCs w:val="24"/>
          <w:highlight w:val="white"/>
          <w:lang w:val="en-US"/>
        </w:rPr>
        <w:t>四、名词解释</w:t>
      </w:r>
      <w:r>
        <w:rPr>
          <w:rFonts w:hint="eastAsia" w:ascii="等线" w:hAnsi="等线" w:eastAsia="等线" w:cs="Times New Roman"/>
          <w:color w:val="000000"/>
          <w:sz w:val="28"/>
          <w:szCs w:val="24"/>
          <w:highlight w:val="white"/>
          <w:lang w:val="en-US" w:eastAsia="zh-CN"/>
        </w:rPr>
        <w:t>...............</w:t>
      </w:r>
      <w:r>
        <w:rPr>
          <w:rFonts w:hint="eastAsia" w:ascii="等线" w:hAnsi="等线" w:eastAsia="等线" w:cs="Times New Roman"/>
          <w:color w:val="000000"/>
          <w:sz w:val="28"/>
          <w:szCs w:val="24"/>
          <w:highlight w:val="white"/>
          <w:lang w:val="en-US"/>
        </w:rPr>
        <w:t>............................</w:t>
      </w:r>
      <w:r>
        <w:rPr>
          <w:rFonts w:hint="eastAsia" w:ascii="等线" w:hAnsi="等线" w:eastAsia="等线" w:cs="Times New Roman"/>
          <w:color w:val="auto"/>
          <w:sz w:val="28"/>
          <w:szCs w:val="24"/>
          <w:lang w:val="en-US"/>
        </w:rPr>
        <w:t xml:space="preserve">( </w:t>
      </w:r>
      <w:r>
        <w:rPr>
          <w:rFonts w:hint="eastAsia" w:ascii="等线" w:hAnsi="等线" w:eastAsia="等线" w:cs="Times New Roman"/>
          <w:color w:val="auto"/>
          <w:sz w:val="28"/>
          <w:szCs w:val="24"/>
          <w:lang w:val="en-US" w:eastAsia="zh-CN"/>
        </w:rPr>
        <w:t>10</w:t>
      </w:r>
      <w:r>
        <w:rPr>
          <w:rFonts w:hint="eastAsia" w:ascii="等线" w:hAnsi="等线" w:eastAsia="等线" w:cs="Times New Roman"/>
          <w:color w:val="auto"/>
          <w:sz w:val="28"/>
          <w:szCs w:val="24"/>
          <w:lang w:val="en-US"/>
        </w:rPr>
        <w:t xml:space="preserve"> )</w:t>
      </w:r>
    </w:p>
    <w:p>
      <w:pPr>
        <w:spacing w:line="324" w:lineRule="auto"/>
        <w:rPr>
          <w:rFonts w:hint="eastAsia" w:ascii="黑体" w:hAnsi="黑体" w:eastAsia="黑体"/>
          <w:b/>
          <w:color w:val="000000"/>
          <w:sz w:val="28"/>
          <w:szCs w:val="28"/>
          <w:highlight w:val="white"/>
        </w:rPr>
      </w:pPr>
      <w:bookmarkStart w:id="0" w:name="_GoBack"/>
      <w:bookmarkEnd w:id="0"/>
    </w:p>
    <w:p>
      <w:pPr>
        <w:spacing w:line="324" w:lineRule="auto"/>
        <w:ind w:firstLine="600"/>
        <w:rPr>
          <w:rFonts w:hint="eastAsia" w:ascii="黑体" w:hAnsi="黑体" w:eastAsia="黑体"/>
          <w:b/>
          <w:color w:val="000000"/>
          <w:sz w:val="28"/>
          <w:szCs w:val="28"/>
          <w:highlight w:val="white"/>
        </w:rPr>
      </w:pPr>
      <w:r>
        <w:rPr>
          <w:rFonts w:hint="eastAsia" w:ascii="黑体" w:hAnsi="黑体" w:eastAsia="黑体"/>
          <w:b/>
          <w:color w:val="000000"/>
          <w:sz w:val="28"/>
          <w:szCs w:val="28"/>
          <w:highlight w:val="white"/>
        </w:rPr>
        <w:t>一、概况</w:t>
      </w:r>
    </w:p>
    <w:p>
      <w:pPr>
        <w:spacing w:line="324" w:lineRule="auto"/>
        <w:ind w:firstLine="594"/>
        <w:rPr>
          <w:rFonts w:hint="eastAsia" w:ascii="楷体" w:hAnsi="楷体" w:eastAsia="楷体"/>
          <w:b/>
          <w:color w:val="000000"/>
          <w:sz w:val="28"/>
          <w:szCs w:val="28"/>
          <w:highlight w:val="white"/>
        </w:rPr>
      </w:pPr>
      <w:r>
        <w:rPr>
          <w:rFonts w:hint="eastAsia" w:ascii="楷体" w:hAnsi="楷体" w:eastAsia="楷体"/>
          <w:b/>
          <w:color w:val="000000"/>
          <w:sz w:val="28"/>
          <w:szCs w:val="28"/>
          <w:highlight w:val="white"/>
        </w:rPr>
        <w:t>（一）单位职责</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 xml:space="preserve">1. </w:t>
      </w:r>
      <w:r>
        <w:rPr>
          <w:rFonts w:hint="eastAsia" w:ascii="仿宋" w:hAnsi="仿宋" w:eastAsia="仿宋"/>
          <w:color w:val="000000"/>
          <w:sz w:val="28"/>
          <w:szCs w:val="28"/>
        </w:rPr>
        <w:t>协助做好纪检监察、司法、行政工作中涉及价格不明或价格有争议的价格认定标的的价格确认工作</w:t>
      </w:r>
      <w:r>
        <w:rPr>
          <w:rFonts w:hint="eastAsia" w:ascii="仿宋" w:hAnsi="仿宋" w:eastAsia="仿宋"/>
          <w:color w:val="000000"/>
          <w:sz w:val="28"/>
          <w:szCs w:val="28"/>
          <w:highlight w:val="white"/>
        </w:rPr>
        <w:t>。</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 xml:space="preserve">2. </w:t>
      </w:r>
      <w:r>
        <w:rPr>
          <w:rFonts w:hint="eastAsia" w:ascii="仿宋" w:hAnsi="仿宋" w:eastAsia="仿宋"/>
          <w:color w:val="000000"/>
          <w:sz w:val="28"/>
          <w:szCs w:val="28"/>
        </w:rPr>
        <w:t>负责调解平等民事主体之间的价格矛盾纠纷</w:t>
      </w:r>
      <w:r>
        <w:rPr>
          <w:rFonts w:hint="eastAsia" w:ascii="仿宋" w:hAnsi="仿宋" w:eastAsia="仿宋"/>
          <w:color w:val="000000"/>
          <w:sz w:val="28"/>
          <w:szCs w:val="28"/>
          <w:highlight w:val="white"/>
        </w:rPr>
        <w:t>。</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3.</w:t>
      </w:r>
      <w:r>
        <w:rPr>
          <w:rFonts w:hint="eastAsia"/>
        </w:rPr>
        <w:t xml:space="preserve"> </w:t>
      </w:r>
      <w:r>
        <w:rPr>
          <w:rFonts w:hint="eastAsia" w:ascii="仿宋" w:hAnsi="仿宋" w:eastAsia="仿宋"/>
          <w:color w:val="000000"/>
          <w:sz w:val="28"/>
          <w:szCs w:val="28"/>
        </w:rPr>
        <w:t>完成兰溪市发展和改革局交办的其他任务。</w:t>
      </w:r>
    </w:p>
    <w:p>
      <w:pPr>
        <w:spacing w:line="324" w:lineRule="auto"/>
        <w:ind w:firstLine="594"/>
        <w:rPr>
          <w:b/>
          <w:color w:val="000000"/>
          <w:sz w:val="28"/>
          <w:szCs w:val="28"/>
          <w:highlight w:val="white"/>
        </w:rPr>
      </w:pPr>
      <w:r>
        <w:rPr>
          <w:rFonts w:hint="eastAsia" w:ascii="楷体" w:hAnsi="楷体" w:eastAsia="楷体"/>
          <w:b/>
          <w:color w:val="000000"/>
          <w:sz w:val="28"/>
          <w:szCs w:val="28"/>
          <w:highlight w:val="white"/>
        </w:rPr>
        <w:t>（二）机构设置</w:t>
      </w:r>
    </w:p>
    <w:p>
      <w:pPr>
        <w:spacing w:line="324" w:lineRule="auto"/>
        <w:ind w:firstLine="594"/>
        <w:rPr>
          <w:rFonts w:ascii="仿宋" w:hAnsi="仿宋" w:eastAsia="仿宋"/>
          <w:sz w:val="28"/>
          <w:szCs w:val="28"/>
          <w:highlight w:val="white"/>
        </w:rPr>
      </w:pPr>
      <w:r>
        <w:rPr>
          <w:rFonts w:hint="eastAsia" w:ascii="仿宋" w:hAnsi="仿宋" w:eastAsia="仿宋"/>
          <w:sz w:val="28"/>
          <w:szCs w:val="28"/>
          <w:highlight w:val="white"/>
        </w:rPr>
        <w:t>从预算单位构成看，</w:t>
      </w:r>
      <w:r>
        <w:rPr>
          <w:rFonts w:hint="eastAsia" w:ascii="仿宋" w:hAnsi="仿宋" w:eastAsia="仿宋"/>
          <w:sz w:val="28"/>
          <w:szCs w:val="28"/>
        </w:rPr>
        <w:t>本单位内设：价格认证科室</w:t>
      </w:r>
      <w:r>
        <w:rPr>
          <w:rFonts w:hint="eastAsia" w:ascii="仿宋" w:hAnsi="仿宋" w:eastAsia="仿宋"/>
          <w:sz w:val="28"/>
          <w:szCs w:val="28"/>
          <w:highlight w:val="white"/>
        </w:rPr>
        <w:t>。</w:t>
      </w:r>
    </w:p>
    <w:p>
      <w:pPr>
        <w:spacing w:line="324" w:lineRule="auto"/>
        <w:ind w:firstLine="600"/>
        <w:rPr>
          <w:rFonts w:hint="eastAsia" w:ascii="黑体" w:hAnsi="黑体" w:eastAsia="黑体"/>
          <w:b/>
          <w:color w:val="000000"/>
          <w:sz w:val="28"/>
          <w:szCs w:val="28"/>
          <w:highlight w:val="white"/>
        </w:rPr>
      </w:pPr>
      <w:r>
        <w:rPr>
          <w:rFonts w:hint="eastAsia" w:ascii="黑体" w:hAnsi="黑体" w:eastAsia="黑体"/>
          <w:b/>
          <w:color w:val="000000"/>
          <w:sz w:val="28"/>
          <w:szCs w:val="28"/>
          <w:highlight w:val="white"/>
        </w:rPr>
        <w:t>二、2021年度单位决算公开表</w:t>
      </w:r>
    </w:p>
    <w:p>
      <w:pPr>
        <w:spacing w:line="324" w:lineRule="auto"/>
        <w:ind w:firstLine="594"/>
        <w:rPr>
          <w:rFonts w:hint="eastAsia"/>
          <w:color w:val="000000"/>
          <w:sz w:val="28"/>
          <w:szCs w:val="28"/>
          <w:highlight w:val="white"/>
        </w:rPr>
      </w:pPr>
      <w:r>
        <w:rPr>
          <w:rFonts w:hint="eastAsia" w:ascii="仿宋" w:hAnsi="仿宋" w:eastAsia="仿宋"/>
          <w:color w:val="000000"/>
          <w:sz w:val="28"/>
          <w:szCs w:val="28"/>
          <w:highlight w:val="white"/>
        </w:rPr>
        <w:t>详见附表</w:t>
      </w:r>
      <w:r>
        <w:rPr>
          <w:rFonts w:hint="eastAsia" w:ascii="仿宋_GB2312" w:eastAsia="仿宋_GB2312"/>
          <w:color w:val="000000"/>
          <w:sz w:val="28"/>
          <w:szCs w:val="28"/>
          <w:highlight w:val="white"/>
        </w:rPr>
        <w:t>。</w:t>
      </w:r>
    </w:p>
    <w:p>
      <w:pPr>
        <w:spacing w:line="324" w:lineRule="auto"/>
        <w:ind w:firstLine="594"/>
        <w:rPr>
          <w:b/>
          <w:color w:val="000000"/>
          <w:sz w:val="28"/>
          <w:szCs w:val="28"/>
          <w:highlight w:val="white"/>
        </w:rPr>
      </w:pPr>
      <w:r>
        <w:rPr>
          <w:rFonts w:hint="eastAsia" w:ascii="黑体" w:hAnsi="黑体" w:eastAsia="黑体"/>
          <w:b/>
          <w:sz w:val="28"/>
          <w:szCs w:val="28"/>
          <w:highlight w:val="white"/>
        </w:rPr>
        <w:t>三、</w:t>
      </w:r>
      <w:r>
        <w:rPr>
          <w:rFonts w:hint="eastAsia" w:ascii="黑体" w:hAnsi="黑体" w:eastAsia="黑体"/>
          <w:b/>
          <w:color w:val="000000"/>
          <w:sz w:val="28"/>
          <w:szCs w:val="28"/>
          <w:highlight w:val="white"/>
        </w:rPr>
        <w:t>2021年度单位决算情况说明</w:t>
      </w:r>
    </w:p>
    <w:p>
      <w:pPr>
        <w:spacing w:line="324" w:lineRule="auto"/>
        <w:ind w:firstLine="594"/>
        <w:rPr>
          <w:b/>
          <w:color w:val="000000"/>
          <w:sz w:val="28"/>
          <w:szCs w:val="28"/>
          <w:highlight w:val="white"/>
        </w:rPr>
      </w:pPr>
      <w:r>
        <w:rPr>
          <w:rFonts w:hint="eastAsia" w:ascii="楷体" w:hAnsi="楷体" w:eastAsia="楷体"/>
          <w:b/>
          <w:color w:val="000000"/>
          <w:sz w:val="28"/>
          <w:szCs w:val="28"/>
          <w:highlight w:val="white"/>
        </w:rPr>
        <w:t>（一）收入支出决算总体情况说明</w:t>
      </w:r>
    </w:p>
    <w:p>
      <w:pPr>
        <w:spacing w:line="324" w:lineRule="auto"/>
        <w:ind w:firstLine="594"/>
        <w:rPr>
          <w:b/>
          <w:color w:val="000000"/>
          <w:sz w:val="28"/>
          <w:szCs w:val="28"/>
          <w:highlight w:val="white"/>
        </w:rPr>
      </w:pPr>
      <w:r>
        <w:rPr>
          <w:rFonts w:hint="eastAsia" w:ascii="仿宋" w:hAnsi="仿宋" w:eastAsia="仿宋"/>
          <w:color w:val="000000"/>
          <w:sz w:val="28"/>
          <w:szCs w:val="28"/>
          <w:highlight w:val="white"/>
        </w:rPr>
        <w:t>2021年度收入总计159.7万元，支出总计159.7万元,与2020年度相比，各增加1.52万元，增长0.9%。主要原因是：人员调整。</w:t>
      </w:r>
    </w:p>
    <w:p>
      <w:pPr>
        <w:spacing w:line="324" w:lineRule="auto"/>
        <w:ind w:firstLine="594"/>
        <w:rPr>
          <w:b/>
          <w:color w:val="000000"/>
          <w:sz w:val="28"/>
          <w:szCs w:val="28"/>
          <w:highlight w:val="white"/>
        </w:rPr>
      </w:pPr>
      <w:r>
        <w:rPr>
          <w:rFonts w:hint="eastAsia" w:ascii="楷体" w:hAnsi="楷体" w:eastAsia="楷体"/>
          <w:b/>
          <w:color w:val="000000"/>
          <w:sz w:val="28"/>
          <w:szCs w:val="28"/>
          <w:highlight w:val="white"/>
        </w:rPr>
        <w:t>（二）收入决算情况说明</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本年收入合计159.7万元；包括财政拨款收入159.7万元（其中，一般公共预算159.7万元，政府性基金预算0万元,国有资本经营预算0万元），占收入合计100%；上级补助收入0万元，占收入合计0%；事业收入0万元，占收入合计%；经营收入0万元，占收入合计0%；附属单位上缴收入0万元，占收入合计0%；其他收入0万元，占收入合计0%。</w:t>
      </w:r>
    </w:p>
    <w:p>
      <w:pPr>
        <w:spacing w:line="324" w:lineRule="auto"/>
        <w:ind w:firstLine="594"/>
        <w:rPr>
          <w:rFonts w:hint="eastAsia"/>
          <w:b/>
          <w:color w:val="000000"/>
          <w:sz w:val="28"/>
          <w:szCs w:val="28"/>
          <w:highlight w:val="white"/>
        </w:rPr>
      </w:pPr>
      <w:r>
        <w:rPr>
          <w:rFonts w:hint="eastAsia" w:ascii="楷体" w:hAnsi="楷体" w:eastAsia="楷体"/>
          <w:b/>
          <w:color w:val="000000"/>
          <w:sz w:val="28"/>
          <w:szCs w:val="28"/>
          <w:highlight w:val="white"/>
        </w:rPr>
        <w:t>（三）支出决算情况说明</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本年支出合计159.7万元，其中基本支出154.94万元，占97%；项目支出4.76万元，占3%；上缴上级支出</w:t>
      </w:r>
      <w:r>
        <w:rPr>
          <w:rFonts w:hint="eastAsia" w:ascii="仿宋" w:hAnsi="仿宋" w:eastAsia="仿宋"/>
          <w:sz w:val="28"/>
          <w:szCs w:val="28"/>
          <w:highlight w:val="white"/>
        </w:rPr>
        <w:t>0</w:t>
      </w:r>
      <w:r>
        <w:rPr>
          <w:rFonts w:hint="eastAsia" w:ascii="仿宋" w:hAnsi="仿宋" w:eastAsia="仿宋"/>
          <w:color w:val="000000"/>
          <w:sz w:val="28"/>
          <w:szCs w:val="28"/>
          <w:highlight w:val="white"/>
        </w:rPr>
        <w:t>万元，占0%；经营支出0万元，占0%；对附属单位补助支出</w:t>
      </w:r>
      <w:r>
        <w:rPr>
          <w:rFonts w:hint="eastAsia" w:ascii="仿宋" w:hAnsi="仿宋" w:eastAsia="仿宋"/>
          <w:sz w:val="28"/>
          <w:szCs w:val="28"/>
          <w:highlight w:val="white"/>
        </w:rPr>
        <w:t>0</w:t>
      </w:r>
      <w:r>
        <w:rPr>
          <w:rFonts w:hint="eastAsia" w:ascii="仿宋" w:hAnsi="仿宋" w:eastAsia="仿宋"/>
          <w:color w:val="000000"/>
          <w:sz w:val="28"/>
          <w:szCs w:val="28"/>
          <w:highlight w:val="white"/>
        </w:rPr>
        <w:t>万元，占0%。</w:t>
      </w:r>
    </w:p>
    <w:p>
      <w:pPr>
        <w:spacing w:line="324" w:lineRule="auto"/>
        <w:ind w:firstLine="594"/>
        <w:rPr>
          <w:rFonts w:hint="eastAsia" w:ascii="楷体" w:hAnsi="楷体" w:eastAsia="楷体"/>
          <w:b/>
          <w:color w:val="000000"/>
          <w:sz w:val="28"/>
          <w:szCs w:val="28"/>
          <w:highlight w:val="white"/>
        </w:rPr>
      </w:pPr>
      <w:r>
        <w:rPr>
          <w:rFonts w:hint="eastAsia" w:ascii="楷体" w:hAnsi="楷体" w:eastAsia="楷体"/>
          <w:b/>
          <w:color w:val="000000"/>
          <w:sz w:val="28"/>
          <w:szCs w:val="28"/>
          <w:highlight w:val="white"/>
        </w:rPr>
        <w:t>（四）财政拨款收入支出决算总体情况说明</w:t>
      </w:r>
    </w:p>
    <w:p>
      <w:pPr>
        <w:spacing w:line="324" w:lineRule="auto"/>
        <w:ind w:firstLine="594"/>
        <w:rPr>
          <w:rFonts w:hint="eastAsia" w:ascii="仿宋" w:hAnsi="仿宋" w:eastAsia="仿宋"/>
          <w:b/>
          <w:color w:val="000000"/>
          <w:sz w:val="28"/>
          <w:szCs w:val="28"/>
          <w:highlight w:val="white"/>
        </w:rPr>
      </w:pPr>
      <w:r>
        <w:rPr>
          <w:rFonts w:hint="eastAsia" w:ascii="仿宋" w:hAnsi="仿宋" w:eastAsia="仿宋"/>
          <w:color w:val="000000"/>
          <w:sz w:val="28"/>
          <w:szCs w:val="28"/>
          <w:highlight w:val="white"/>
        </w:rPr>
        <w:t>2021年度财政拨款收入总计159.7万元，支出总计159.7万元，与2020年相比，各增加1.52万元，增长0.9%。主要原因是人员调整</w:t>
      </w:r>
      <w:r>
        <w:rPr>
          <w:rFonts w:hint="eastAsia" w:ascii="仿宋" w:hAnsi="仿宋" w:eastAsia="仿宋"/>
          <w:sz w:val="28"/>
          <w:szCs w:val="28"/>
          <w:highlight w:val="white"/>
        </w:rPr>
        <w:t>；</w:t>
      </w:r>
      <w:r>
        <w:rPr>
          <w:rFonts w:hint="eastAsia" w:ascii="仿宋" w:hAnsi="仿宋" w:eastAsia="仿宋"/>
          <w:color w:val="000000"/>
          <w:sz w:val="28"/>
          <w:szCs w:val="28"/>
          <w:highlight w:val="white"/>
        </w:rPr>
        <w:t>财政拨款支出年初预算数161.73万元，</w:t>
      </w:r>
      <w:r>
        <w:rPr>
          <w:rFonts w:hint="eastAsia" w:ascii="仿宋" w:hAnsi="仿宋" w:eastAsia="仿宋"/>
          <w:sz w:val="28"/>
          <w:szCs w:val="28"/>
          <w:highlight w:val="white"/>
        </w:rPr>
        <w:t>完成年初预算的</w:t>
      </w:r>
      <w:r>
        <w:rPr>
          <w:rFonts w:hint="eastAsia" w:ascii="仿宋" w:hAnsi="仿宋" w:eastAsia="仿宋"/>
          <w:color w:val="000000"/>
          <w:sz w:val="28"/>
          <w:szCs w:val="28"/>
          <w:highlight w:val="white"/>
        </w:rPr>
        <w:t>98.74%</w:t>
      </w:r>
      <w:r>
        <w:rPr>
          <w:rFonts w:hint="eastAsia" w:ascii="仿宋" w:hAnsi="仿宋" w:eastAsia="仿宋"/>
          <w:sz w:val="28"/>
          <w:szCs w:val="28"/>
          <w:highlight w:val="white"/>
        </w:rPr>
        <w:t>，</w:t>
      </w:r>
      <w:r>
        <w:rPr>
          <w:rFonts w:hint="eastAsia" w:ascii="仿宋" w:hAnsi="仿宋" w:eastAsia="仿宋"/>
          <w:color w:val="000000"/>
          <w:sz w:val="28"/>
          <w:szCs w:val="28"/>
          <w:highlight w:val="white"/>
        </w:rPr>
        <w:t>主要原因是人员调整</w:t>
      </w:r>
      <w:r>
        <w:rPr>
          <w:rFonts w:hint="eastAsia" w:ascii="仿宋" w:hAnsi="仿宋" w:eastAsia="仿宋"/>
          <w:sz w:val="28"/>
          <w:szCs w:val="28"/>
          <w:highlight w:val="white"/>
        </w:rPr>
        <w:t>。</w:t>
      </w:r>
    </w:p>
    <w:p>
      <w:pPr>
        <w:spacing w:line="324" w:lineRule="auto"/>
        <w:ind w:firstLine="594"/>
        <w:rPr>
          <w:rFonts w:hint="eastAsia"/>
          <w:b/>
          <w:color w:val="000000"/>
          <w:sz w:val="28"/>
          <w:szCs w:val="28"/>
          <w:highlight w:val="white"/>
        </w:rPr>
      </w:pPr>
      <w:r>
        <w:rPr>
          <w:rFonts w:hint="eastAsia" w:ascii="楷体" w:hAnsi="楷体" w:eastAsia="楷体"/>
          <w:b/>
          <w:color w:val="000000"/>
          <w:sz w:val="28"/>
          <w:szCs w:val="28"/>
          <w:highlight w:val="white"/>
        </w:rPr>
        <w:t>（五）一般公共预算财政拨款支出决算情况说明</w:t>
      </w:r>
    </w:p>
    <w:p>
      <w:pPr>
        <w:spacing w:line="324" w:lineRule="auto"/>
        <w:ind w:firstLine="606"/>
        <w:rPr>
          <w:rFonts w:ascii="仿宋" w:hAnsi="仿宋" w:eastAsia="仿宋"/>
          <w:color w:val="000000"/>
          <w:sz w:val="28"/>
          <w:szCs w:val="28"/>
          <w:highlight w:val="white"/>
        </w:rPr>
      </w:pPr>
      <w:r>
        <w:rPr>
          <w:rFonts w:hint="eastAsia" w:ascii="仿宋" w:hAnsi="仿宋" w:eastAsia="仿宋"/>
          <w:b/>
          <w:color w:val="000000"/>
          <w:sz w:val="28"/>
          <w:szCs w:val="28"/>
          <w:highlight w:val="white"/>
        </w:rPr>
        <w:t>1.一般公共预算财政拨款支出决算总体情况。</w:t>
      </w:r>
    </w:p>
    <w:p>
      <w:pPr>
        <w:spacing w:line="324" w:lineRule="auto"/>
        <w:ind w:firstLine="606"/>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2021年度一般公共预算财政拨款支出159.7万元，占本年支出合计的100%。与2020年相比，一般公共预算财政拨款支出增加1.52万元，增长0.9%。主要原因是：人员调整。</w:t>
      </w:r>
    </w:p>
    <w:p>
      <w:pPr>
        <w:spacing w:line="324" w:lineRule="auto"/>
        <w:ind w:firstLine="606"/>
        <w:rPr>
          <w:rFonts w:hint="eastAsia" w:ascii="仿宋" w:hAnsi="仿宋" w:eastAsia="仿宋"/>
          <w:color w:val="000000"/>
          <w:sz w:val="28"/>
          <w:szCs w:val="28"/>
          <w:highlight w:val="white"/>
        </w:rPr>
      </w:pPr>
      <w:r>
        <w:rPr>
          <w:rFonts w:hint="eastAsia" w:ascii="仿宋" w:hAnsi="仿宋" w:eastAsia="仿宋"/>
          <w:b/>
          <w:color w:val="000000"/>
          <w:sz w:val="28"/>
          <w:szCs w:val="28"/>
          <w:highlight w:val="white"/>
        </w:rPr>
        <w:t>2.一般公共预算财政拨款支出决算结构情况。</w:t>
      </w:r>
    </w:p>
    <w:p>
      <w:pPr>
        <w:spacing w:line="324" w:lineRule="auto"/>
        <w:ind w:firstLine="606"/>
        <w:rPr>
          <w:rFonts w:hint="eastAsia" w:ascii="仿宋" w:hAnsi="仿宋" w:eastAsia="仿宋"/>
          <w:b/>
          <w:color w:val="000000"/>
          <w:sz w:val="28"/>
          <w:szCs w:val="28"/>
          <w:highlight w:val="white"/>
        </w:rPr>
      </w:pPr>
      <w:r>
        <w:rPr>
          <w:rFonts w:hint="eastAsia" w:ascii="仿宋" w:hAnsi="仿宋" w:eastAsia="仿宋"/>
          <w:color w:val="000000"/>
          <w:sz w:val="28"/>
          <w:szCs w:val="28"/>
          <w:highlight w:val="white"/>
        </w:rPr>
        <w:t>2021年度一般公共预算财政拨款支出159.7万元，主要用于以下方面：一般公共服务（类）支出</w:t>
      </w:r>
      <w:r>
        <w:rPr>
          <w:rFonts w:hint="eastAsia" w:ascii="仿宋" w:hAnsi="仿宋" w:eastAsia="仿宋"/>
          <w:sz w:val="28"/>
          <w:szCs w:val="28"/>
          <w:highlight w:val="white"/>
        </w:rPr>
        <w:t>156万元</w:t>
      </w:r>
      <w:r>
        <w:rPr>
          <w:rFonts w:hint="eastAsia" w:ascii="仿宋" w:hAnsi="仿宋" w:eastAsia="仿宋"/>
          <w:color w:val="000000"/>
          <w:sz w:val="28"/>
          <w:szCs w:val="28"/>
          <w:highlight w:val="white"/>
        </w:rPr>
        <w:t>，占97.68%；国防（类）支出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,占0%；公共安全（类）支出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,占0%；教育（类）支出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,占0%；科学技术（类）支出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,占0%；文化旅游体育与传媒（类）支出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,占0%；社会保障和就业（类）支出0万元,占0%；卫生健康（类）支出</w:t>
      </w:r>
      <w:r>
        <w:rPr>
          <w:rFonts w:hint="eastAsia" w:ascii="仿宋" w:hAnsi="仿宋" w:eastAsia="仿宋"/>
          <w:sz w:val="28"/>
          <w:szCs w:val="28"/>
          <w:highlight w:val="white"/>
        </w:rPr>
        <w:t>3.7万元</w:t>
      </w:r>
      <w:r>
        <w:rPr>
          <w:rFonts w:hint="eastAsia" w:ascii="仿宋" w:hAnsi="仿宋" w:eastAsia="仿宋"/>
          <w:color w:val="000000"/>
          <w:sz w:val="28"/>
          <w:szCs w:val="28"/>
          <w:highlight w:val="white"/>
        </w:rPr>
        <w:t>,占2.32%；节能环保（类）支出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,占0%；城乡社区（类）支出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,占0%；农林水（类）支出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,占0%；交通运输（类）支出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,占0%；资源勘探工业信息等（类）支出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,占0%；商业服务业等（类）支出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,占0%；金融（类）支出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,占0%；援助其他地区（类）支出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,占0%；自然资源海洋气象等（类）支出0万元,占0%；住房保障（类）支出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,占0%；粮油物资储备（类）支出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,占0%；灾害防治及应急管理（类）支出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,占0%；其他（类）支出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,占0%；债务还本（类）支出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,占0%；债务付息（类）支出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w:t>
      </w:r>
    </w:p>
    <w:p>
      <w:pPr>
        <w:spacing w:line="324" w:lineRule="auto"/>
        <w:ind w:firstLine="606"/>
        <w:rPr>
          <w:rFonts w:hint="eastAsia" w:ascii="仿宋" w:hAnsi="仿宋" w:eastAsia="仿宋"/>
          <w:color w:val="000000"/>
          <w:sz w:val="28"/>
          <w:szCs w:val="28"/>
          <w:highlight w:val="white"/>
        </w:rPr>
      </w:pPr>
      <w:r>
        <w:rPr>
          <w:rFonts w:hint="eastAsia" w:ascii="仿宋" w:hAnsi="仿宋" w:eastAsia="仿宋"/>
          <w:b/>
          <w:color w:val="000000"/>
          <w:sz w:val="28"/>
          <w:szCs w:val="28"/>
          <w:highlight w:val="white"/>
        </w:rPr>
        <w:t>3.一般公共预算财政拨款支出决算具体情况。</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sz w:val="28"/>
          <w:szCs w:val="28"/>
          <w:highlight w:val="white"/>
        </w:rPr>
        <w:t>2021年度</w:t>
      </w:r>
      <w:r>
        <w:rPr>
          <w:rFonts w:hint="eastAsia" w:ascii="仿宋" w:hAnsi="仿宋" w:eastAsia="仿宋"/>
          <w:color w:val="000000"/>
          <w:sz w:val="28"/>
          <w:szCs w:val="28"/>
          <w:highlight w:val="white"/>
        </w:rPr>
        <w:t>一般公共预算</w:t>
      </w:r>
      <w:r>
        <w:rPr>
          <w:rFonts w:hint="eastAsia" w:ascii="仿宋" w:hAnsi="仿宋" w:eastAsia="仿宋"/>
          <w:sz w:val="28"/>
          <w:szCs w:val="28"/>
          <w:highlight w:val="white"/>
        </w:rPr>
        <w:t>财政拨款支出年初预算为</w:t>
      </w:r>
      <w:r>
        <w:rPr>
          <w:rFonts w:hint="eastAsia" w:ascii="仿宋" w:hAnsi="仿宋" w:eastAsia="仿宋"/>
          <w:color w:val="000000"/>
          <w:sz w:val="28"/>
          <w:szCs w:val="28"/>
          <w:highlight w:val="white"/>
        </w:rPr>
        <w:t>161.73</w:t>
      </w:r>
      <w:r>
        <w:rPr>
          <w:rFonts w:hint="eastAsia" w:ascii="仿宋" w:hAnsi="仿宋" w:eastAsia="仿宋"/>
          <w:sz w:val="28"/>
          <w:szCs w:val="28"/>
          <w:highlight w:val="white"/>
        </w:rPr>
        <w:t>万元，支出决算为</w:t>
      </w:r>
      <w:r>
        <w:rPr>
          <w:rFonts w:hint="eastAsia" w:ascii="仿宋" w:hAnsi="仿宋" w:eastAsia="仿宋"/>
          <w:color w:val="000000"/>
          <w:sz w:val="28"/>
          <w:szCs w:val="28"/>
          <w:highlight w:val="white"/>
        </w:rPr>
        <w:t>159.7万元</w:t>
      </w:r>
      <w:r>
        <w:rPr>
          <w:rFonts w:hint="eastAsia" w:ascii="仿宋" w:hAnsi="仿宋" w:eastAsia="仿宋"/>
          <w:sz w:val="28"/>
          <w:szCs w:val="28"/>
          <w:highlight w:val="white"/>
        </w:rPr>
        <w:t>,完成年初预算的</w:t>
      </w:r>
      <w:r>
        <w:rPr>
          <w:rFonts w:hint="eastAsia" w:ascii="仿宋" w:hAnsi="仿宋" w:eastAsia="仿宋"/>
          <w:color w:val="000000"/>
          <w:sz w:val="28"/>
          <w:szCs w:val="28"/>
          <w:highlight w:val="white"/>
        </w:rPr>
        <w:t>98.74%</w:t>
      </w:r>
      <w:r>
        <w:rPr>
          <w:rFonts w:hint="eastAsia" w:ascii="仿宋" w:hAnsi="仿宋" w:eastAsia="仿宋"/>
          <w:sz w:val="28"/>
          <w:szCs w:val="28"/>
          <w:highlight w:val="white"/>
        </w:rPr>
        <w:t>，主要原因是</w:t>
      </w:r>
      <w:r>
        <w:rPr>
          <w:rFonts w:hint="eastAsia" w:ascii="仿宋" w:hAnsi="仿宋" w:eastAsia="仿宋"/>
          <w:color w:val="000000"/>
          <w:sz w:val="28"/>
          <w:szCs w:val="28"/>
          <w:highlight w:val="white"/>
        </w:rPr>
        <w:t>人员调整</w:t>
      </w:r>
      <w:r>
        <w:rPr>
          <w:rFonts w:hint="eastAsia" w:ascii="仿宋" w:hAnsi="仿宋" w:eastAsia="仿宋"/>
          <w:sz w:val="28"/>
          <w:szCs w:val="28"/>
          <w:highlight w:val="white"/>
        </w:rPr>
        <w:t>。</w:t>
      </w:r>
      <w:r>
        <w:rPr>
          <w:rFonts w:hint="eastAsia" w:ascii="仿宋" w:hAnsi="仿宋" w:eastAsia="仿宋"/>
          <w:color w:val="000000"/>
          <w:sz w:val="28"/>
          <w:szCs w:val="28"/>
          <w:highlight w:val="white"/>
        </w:rPr>
        <w:t>其中：</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lang w:eastAsia="zh-CN"/>
        </w:rPr>
        <w:t>一般公共服务支出</w:t>
      </w:r>
      <w:r>
        <w:rPr>
          <w:rFonts w:hint="eastAsia" w:ascii="仿宋" w:hAnsi="仿宋" w:eastAsia="仿宋"/>
          <w:color w:val="000000"/>
          <w:sz w:val="28"/>
          <w:szCs w:val="28"/>
          <w:highlight w:val="white"/>
        </w:rPr>
        <w:t>（类）</w:t>
      </w:r>
      <w:r>
        <w:rPr>
          <w:rFonts w:hint="eastAsia" w:ascii="仿宋" w:hAnsi="仿宋" w:eastAsia="仿宋"/>
          <w:color w:val="000000"/>
          <w:sz w:val="28"/>
          <w:szCs w:val="28"/>
          <w:highlight w:val="white"/>
          <w:lang w:eastAsia="zh-CN"/>
        </w:rPr>
        <w:t>发展和改革事务</w:t>
      </w:r>
      <w:r>
        <w:rPr>
          <w:rFonts w:hint="eastAsia" w:ascii="仿宋" w:hAnsi="仿宋" w:eastAsia="仿宋"/>
          <w:color w:val="000000"/>
          <w:sz w:val="28"/>
          <w:szCs w:val="28"/>
          <w:highlight w:val="white"/>
        </w:rPr>
        <w:t>（款）</w:t>
      </w:r>
      <w:r>
        <w:rPr>
          <w:rFonts w:hint="eastAsia" w:ascii="仿宋" w:hAnsi="仿宋" w:eastAsia="仿宋"/>
          <w:color w:val="000000"/>
          <w:sz w:val="28"/>
          <w:szCs w:val="28"/>
          <w:highlight w:val="white"/>
          <w:lang w:eastAsia="zh-CN"/>
        </w:rPr>
        <w:t>物价管理</w:t>
      </w:r>
      <w:r>
        <w:rPr>
          <w:rFonts w:hint="eastAsia" w:ascii="仿宋" w:hAnsi="仿宋" w:eastAsia="仿宋"/>
          <w:color w:val="000000"/>
          <w:sz w:val="28"/>
          <w:szCs w:val="28"/>
          <w:highlight w:val="white"/>
        </w:rPr>
        <w:t>（项）。年初预算为4万元，支出决算为4万元，完成年初预算的100%，决算数等于预算数。</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lang w:eastAsia="zh-CN"/>
        </w:rPr>
        <w:t>一般公共服务支出</w:t>
      </w:r>
      <w:r>
        <w:rPr>
          <w:rFonts w:hint="eastAsia" w:ascii="仿宋" w:hAnsi="仿宋" w:eastAsia="仿宋"/>
          <w:color w:val="000000"/>
          <w:sz w:val="28"/>
          <w:szCs w:val="28"/>
          <w:highlight w:val="white"/>
        </w:rPr>
        <w:t>（类）</w:t>
      </w:r>
      <w:r>
        <w:rPr>
          <w:rFonts w:hint="eastAsia" w:ascii="仿宋" w:hAnsi="仿宋" w:eastAsia="仿宋"/>
          <w:color w:val="000000"/>
          <w:sz w:val="28"/>
          <w:szCs w:val="28"/>
          <w:highlight w:val="white"/>
          <w:lang w:eastAsia="zh-CN"/>
        </w:rPr>
        <w:t>发展和改革事务</w:t>
      </w:r>
      <w:r>
        <w:rPr>
          <w:rFonts w:hint="eastAsia" w:ascii="仿宋" w:hAnsi="仿宋" w:eastAsia="仿宋"/>
          <w:color w:val="000000"/>
          <w:sz w:val="28"/>
          <w:szCs w:val="28"/>
          <w:highlight w:val="white"/>
        </w:rPr>
        <w:t>（款）</w:t>
      </w:r>
      <w:r>
        <w:rPr>
          <w:rFonts w:hint="eastAsia" w:ascii="仿宋" w:hAnsi="仿宋" w:eastAsia="仿宋"/>
          <w:color w:val="000000"/>
          <w:sz w:val="28"/>
          <w:szCs w:val="28"/>
          <w:highlight w:val="white"/>
          <w:lang w:eastAsia="zh-CN"/>
        </w:rPr>
        <w:t>事业运行</w:t>
      </w:r>
      <w:r>
        <w:rPr>
          <w:rFonts w:hint="eastAsia" w:ascii="仿宋" w:hAnsi="仿宋" w:eastAsia="仿宋"/>
          <w:color w:val="000000"/>
          <w:sz w:val="28"/>
          <w:szCs w:val="28"/>
          <w:highlight w:val="white"/>
        </w:rPr>
        <w:t>（项）。年初预算为153.95万元，支出决算为152万元，完成年初预算的98.73%，决算数或小于预算数的主要原因人员调整。</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lang w:eastAsia="zh-CN"/>
        </w:rPr>
        <w:t>卫生健康支出</w:t>
      </w:r>
      <w:r>
        <w:rPr>
          <w:rFonts w:hint="eastAsia" w:ascii="仿宋" w:hAnsi="仿宋" w:eastAsia="仿宋"/>
          <w:color w:val="000000"/>
          <w:sz w:val="28"/>
          <w:szCs w:val="28"/>
          <w:highlight w:val="white"/>
        </w:rPr>
        <w:t>（类）</w:t>
      </w:r>
      <w:r>
        <w:rPr>
          <w:rFonts w:hint="eastAsia" w:ascii="仿宋" w:hAnsi="仿宋" w:eastAsia="仿宋"/>
          <w:color w:val="000000"/>
          <w:sz w:val="28"/>
          <w:szCs w:val="28"/>
          <w:highlight w:val="white"/>
          <w:lang w:eastAsia="zh-CN"/>
        </w:rPr>
        <w:t>行政事业单位医疗</w:t>
      </w:r>
      <w:r>
        <w:rPr>
          <w:rFonts w:hint="eastAsia" w:ascii="仿宋" w:hAnsi="仿宋" w:eastAsia="仿宋"/>
          <w:color w:val="000000"/>
          <w:sz w:val="28"/>
          <w:szCs w:val="28"/>
          <w:highlight w:val="white"/>
        </w:rPr>
        <w:t>（款）</w:t>
      </w:r>
      <w:r>
        <w:rPr>
          <w:rFonts w:hint="eastAsia" w:ascii="仿宋" w:hAnsi="仿宋" w:eastAsia="仿宋"/>
          <w:color w:val="000000"/>
          <w:sz w:val="28"/>
          <w:szCs w:val="28"/>
          <w:highlight w:val="white"/>
          <w:lang w:eastAsia="zh-CN"/>
        </w:rPr>
        <w:t>事业单位医疗</w:t>
      </w:r>
      <w:r>
        <w:rPr>
          <w:rFonts w:hint="eastAsia" w:ascii="仿宋" w:hAnsi="仿宋" w:eastAsia="仿宋"/>
          <w:color w:val="000000"/>
          <w:sz w:val="28"/>
          <w:szCs w:val="28"/>
          <w:highlight w:val="white"/>
        </w:rPr>
        <w:t>（项）</w:t>
      </w:r>
      <w:r>
        <w:rPr>
          <w:rFonts w:hint="eastAsia" w:ascii="仿宋" w:hAnsi="仿宋" w:eastAsia="仿宋"/>
          <w:color w:val="000000"/>
          <w:sz w:val="28"/>
          <w:szCs w:val="28"/>
        </w:rPr>
        <w:t>。</w:t>
      </w:r>
      <w:r>
        <w:rPr>
          <w:rFonts w:hint="eastAsia" w:ascii="仿宋" w:hAnsi="仿宋" w:eastAsia="仿宋"/>
          <w:color w:val="000000"/>
          <w:sz w:val="28"/>
          <w:szCs w:val="28"/>
          <w:highlight w:val="white"/>
        </w:rPr>
        <w:t>年初预算为3.78万元，支出决算为3.7万元，完成年初预算的97.88%，决算数或小于预算数的主要原因人员调整。</w:t>
      </w:r>
    </w:p>
    <w:p>
      <w:pPr>
        <w:spacing w:line="324" w:lineRule="auto"/>
        <w:ind w:firstLine="594"/>
        <w:rPr>
          <w:rFonts w:hint="eastAsia"/>
          <w:color w:val="000000"/>
          <w:sz w:val="28"/>
          <w:szCs w:val="28"/>
          <w:highlight w:val="white"/>
        </w:rPr>
      </w:pPr>
      <w:r>
        <w:rPr>
          <w:rFonts w:hint="eastAsia" w:ascii="楷体" w:hAnsi="楷体" w:eastAsia="楷体"/>
          <w:b/>
          <w:color w:val="000000"/>
          <w:sz w:val="28"/>
          <w:szCs w:val="28"/>
          <w:highlight w:val="white"/>
        </w:rPr>
        <w:t>（六）一般公共预算财政拨款基本支出决算情况说明</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2021年度一般公共预算财政拨款基本支出154.94万元，其中：</w:t>
      </w:r>
    </w:p>
    <w:p>
      <w:pPr>
        <w:spacing w:line="324" w:lineRule="auto"/>
        <w:ind w:firstLine="594"/>
        <w:rPr>
          <w:rFonts w:hint="eastAsia" w:ascii="仿宋" w:hAnsi="仿宋" w:eastAsia="仿宋"/>
          <w:color w:val="000000"/>
          <w:sz w:val="28"/>
          <w:szCs w:val="28"/>
        </w:rPr>
      </w:pPr>
      <w:r>
        <w:rPr>
          <w:rFonts w:hint="eastAsia" w:ascii="仿宋" w:hAnsi="仿宋" w:eastAsia="仿宋"/>
          <w:color w:val="000000"/>
          <w:sz w:val="28"/>
          <w:szCs w:val="28"/>
          <w:highlight w:val="white"/>
        </w:rPr>
        <w:t>人员经费145.8万元，主要包括：</w:t>
      </w:r>
      <w:r>
        <w:rPr>
          <w:rFonts w:hint="eastAsia" w:ascii="仿宋" w:hAnsi="仿宋" w:eastAsia="仿宋"/>
          <w:color w:val="000000"/>
          <w:sz w:val="28"/>
          <w:szCs w:val="28"/>
        </w:rPr>
        <w:t>基本工资、津贴补贴、奖金、奖金、住房公积金、退休费等。</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公用经费9.14万元，主要包括：</w:t>
      </w:r>
      <w:r>
        <w:rPr>
          <w:rFonts w:hint="eastAsia" w:ascii="仿宋" w:hAnsi="仿宋" w:eastAsia="仿宋"/>
          <w:color w:val="000000"/>
          <w:sz w:val="28"/>
          <w:szCs w:val="28"/>
        </w:rPr>
        <w:t>办公费、印刷费、差旅费等</w:t>
      </w:r>
      <w:r>
        <w:rPr>
          <w:rFonts w:hint="eastAsia" w:ascii="仿宋" w:hAnsi="仿宋" w:eastAsia="仿宋"/>
          <w:color w:val="000000"/>
          <w:sz w:val="28"/>
          <w:szCs w:val="28"/>
          <w:highlight w:val="white"/>
        </w:rPr>
        <w:t>。</w:t>
      </w:r>
    </w:p>
    <w:p>
      <w:pPr>
        <w:spacing w:line="324" w:lineRule="auto"/>
        <w:ind w:firstLine="594"/>
        <w:rPr>
          <w:rFonts w:hint="eastAsia" w:ascii="楷体" w:hAnsi="楷体" w:eastAsia="楷体"/>
          <w:b/>
          <w:color w:val="000000"/>
          <w:sz w:val="28"/>
          <w:szCs w:val="28"/>
          <w:highlight w:val="white"/>
        </w:rPr>
      </w:pPr>
      <w:r>
        <w:rPr>
          <w:rFonts w:hint="eastAsia" w:ascii="楷体" w:hAnsi="楷体" w:eastAsia="楷体"/>
          <w:b/>
          <w:color w:val="000000"/>
          <w:sz w:val="28"/>
          <w:szCs w:val="28"/>
          <w:highlight w:val="white"/>
        </w:rPr>
        <w:t>（七）政府性基金预算财政拨款支出决算总体情况说明</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本单位2020年度和2021年度均无政府性基金预算财政拨款收支安排，故无相关数据。</w:t>
      </w:r>
    </w:p>
    <w:p>
      <w:pPr>
        <w:spacing w:line="324" w:lineRule="auto"/>
        <w:ind w:firstLine="594"/>
        <w:rPr>
          <w:rFonts w:hint="eastAsia" w:ascii="楷体" w:hAnsi="楷体" w:eastAsia="楷体"/>
          <w:b/>
          <w:color w:val="000000"/>
          <w:sz w:val="28"/>
          <w:szCs w:val="28"/>
          <w:highlight w:val="white"/>
        </w:rPr>
      </w:pPr>
      <w:r>
        <w:rPr>
          <w:rFonts w:hint="eastAsia" w:ascii="楷体" w:hAnsi="楷体" w:eastAsia="楷体"/>
          <w:b/>
          <w:color w:val="000000"/>
          <w:sz w:val="28"/>
          <w:szCs w:val="28"/>
          <w:highlight w:val="white"/>
        </w:rPr>
        <w:t>（八）国有资本经营预算财政拨款支出决算总体情况说明</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 xml:space="preserve">本单位2021年度无国有资本经营预算财政拨款收支安排，故无相关数据。 </w:t>
      </w:r>
    </w:p>
    <w:p>
      <w:pPr>
        <w:spacing w:line="324" w:lineRule="auto"/>
        <w:ind w:firstLine="594"/>
        <w:rPr>
          <w:rFonts w:hint="eastAsia" w:ascii="楷体" w:hAnsi="楷体" w:eastAsia="楷体"/>
          <w:b/>
          <w:color w:val="000000"/>
          <w:sz w:val="28"/>
          <w:szCs w:val="28"/>
          <w:highlight w:val="white"/>
        </w:rPr>
      </w:pPr>
      <w:r>
        <w:rPr>
          <w:rFonts w:hint="eastAsia" w:ascii="楷体" w:hAnsi="楷体" w:eastAsia="楷体"/>
          <w:b/>
          <w:color w:val="000000"/>
          <w:sz w:val="28"/>
          <w:szCs w:val="28"/>
          <w:highlight w:val="white"/>
        </w:rPr>
        <w:t>（九）一般公共预算财政拨款“三公”经费支出决算情况说明</w:t>
      </w:r>
    </w:p>
    <w:p>
      <w:pPr>
        <w:spacing w:line="324" w:lineRule="auto"/>
        <w:ind w:firstLine="594"/>
        <w:rPr>
          <w:rFonts w:hint="eastAsia" w:ascii="仿宋" w:hAnsi="仿宋" w:eastAsia="仿宋"/>
          <w:b/>
          <w:color w:val="000000"/>
          <w:sz w:val="28"/>
          <w:szCs w:val="28"/>
          <w:highlight w:val="white"/>
        </w:rPr>
      </w:pPr>
      <w:r>
        <w:rPr>
          <w:rFonts w:hint="eastAsia" w:ascii="仿宋" w:hAnsi="仿宋" w:eastAsia="仿宋"/>
          <w:b/>
          <w:color w:val="000000"/>
          <w:sz w:val="28"/>
          <w:szCs w:val="28"/>
          <w:highlight w:val="white"/>
        </w:rPr>
        <w:t xml:space="preserve">1.“三公”经费一般公共预算财政拨款支出决算总体情况说明。 </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2021年度“三公”经费一般公共预算财政拨款支出预算为0万元，支出决算为0万元，完成预算的0%,2021年度“三公”经费支出决算数等于预算数。</w:t>
      </w:r>
    </w:p>
    <w:p>
      <w:pPr>
        <w:spacing w:line="324" w:lineRule="auto"/>
        <w:ind w:firstLine="594"/>
        <w:rPr>
          <w:rFonts w:hint="eastAsia" w:ascii="仿宋" w:hAnsi="仿宋" w:eastAsia="仿宋"/>
          <w:b/>
          <w:color w:val="000000"/>
          <w:sz w:val="28"/>
          <w:szCs w:val="28"/>
          <w:highlight w:val="white"/>
        </w:rPr>
      </w:pPr>
      <w:r>
        <w:rPr>
          <w:rFonts w:hint="eastAsia" w:ascii="仿宋" w:hAnsi="仿宋" w:eastAsia="仿宋"/>
          <w:b/>
          <w:color w:val="000000"/>
          <w:sz w:val="28"/>
          <w:szCs w:val="28"/>
          <w:highlight w:val="white"/>
        </w:rPr>
        <w:t>2.“三公”经费一般公共预算财政拨款支出决算具体情况说明。</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2021年度“三公”经费一般公共预算财政拨款支出决算中，因公出国（境）费用支出决算为0万元，占%，与2020年度相比无变化；公务用车购置及运行维护费支出决算为0万元，占0%，与2020年度相比无变化；公务接待费支出决算为0万元，占0%，与2020年度相比，无变化。全年</w:t>
      </w:r>
      <w:r>
        <w:rPr>
          <w:rFonts w:hint="default" w:ascii="仿宋" w:hAnsi="仿宋" w:eastAsia="仿宋"/>
          <w:color w:val="000000"/>
          <w:sz w:val="28"/>
          <w:szCs w:val="28"/>
          <w:highlight w:val="white"/>
        </w:rPr>
        <w:t>“三公”经费支出0万元，无主要用途。</w:t>
      </w:r>
      <w:r>
        <w:rPr>
          <w:rFonts w:hint="eastAsia" w:ascii="仿宋" w:hAnsi="仿宋" w:eastAsia="仿宋"/>
          <w:color w:val="000000"/>
          <w:sz w:val="28"/>
          <w:szCs w:val="28"/>
          <w:highlight w:val="white"/>
        </w:rPr>
        <w:t>具体情况如下：</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b/>
          <w:color w:val="000000"/>
          <w:sz w:val="28"/>
          <w:szCs w:val="28"/>
          <w:highlight w:val="white"/>
        </w:rPr>
        <w:t>（1）因公出国（境）费</w:t>
      </w:r>
      <w:r>
        <w:rPr>
          <w:rFonts w:hint="eastAsia" w:ascii="仿宋" w:hAnsi="仿宋" w:eastAsia="仿宋"/>
          <w:color w:val="000000"/>
          <w:sz w:val="28"/>
          <w:szCs w:val="28"/>
          <w:highlight w:val="white"/>
        </w:rPr>
        <w:t>预算数为0万元，支出决算为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完成预算的0%。主要用于机关及下属预算单位人员公务出国（境）的住宿费、国际旅费、培训费、公杂费等支出。决算数等于预算数。全年使用一般公共预算财政拨款支出涉及因公出国(境)团组0个；累计0人次。开支内容无。</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b/>
          <w:color w:val="000000"/>
          <w:sz w:val="28"/>
          <w:szCs w:val="28"/>
          <w:highlight w:val="white"/>
        </w:rPr>
        <w:t>（2）公务用车购置及运行维护费</w:t>
      </w:r>
      <w:r>
        <w:rPr>
          <w:rFonts w:hint="eastAsia" w:ascii="仿宋" w:hAnsi="仿宋" w:eastAsia="仿宋"/>
          <w:color w:val="000000"/>
          <w:sz w:val="28"/>
          <w:szCs w:val="28"/>
          <w:highlight w:val="white"/>
        </w:rPr>
        <w:t>预算数为0万元，支出决算为0万元，完成预算的0%。决算数等于预算数。</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b/>
          <w:color w:val="000000"/>
          <w:sz w:val="28"/>
          <w:szCs w:val="28"/>
          <w:highlight w:val="white"/>
        </w:rPr>
        <w:t>公务用车购置</w:t>
      </w:r>
      <w:r>
        <w:rPr>
          <w:rFonts w:hint="eastAsia" w:ascii="仿宋" w:hAnsi="仿宋" w:eastAsia="仿宋"/>
          <w:color w:val="000000"/>
          <w:sz w:val="28"/>
          <w:szCs w:val="28"/>
          <w:highlight w:val="white"/>
        </w:rPr>
        <w:t>预算数为0万元，支出决算为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（含购置税等附加费用），完成预算的0%。决算数等于预算数。主要用于经批准购置的0辆公务用车；</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b/>
          <w:color w:val="000000"/>
          <w:sz w:val="28"/>
          <w:szCs w:val="28"/>
          <w:highlight w:val="white"/>
        </w:rPr>
        <w:t>公务用车运行维护费</w:t>
      </w:r>
      <w:r>
        <w:rPr>
          <w:rFonts w:hint="eastAsia" w:ascii="仿宋" w:hAnsi="仿宋" w:eastAsia="仿宋"/>
          <w:color w:val="000000"/>
          <w:sz w:val="28"/>
          <w:szCs w:val="28"/>
          <w:highlight w:val="white"/>
        </w:rPr>
        <w:t>预算数为0万元，支出0万元，完成预算的%。决算数等于预算数；2021年度，本级及所属单位开支一般公共预算财政拨款的公务用车保有量为0辆。</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b/>
          <w:color w:val="000000"/>
          <w:sz w:val="28"/>
          <w:szCs w:val="28"/>
          <w:highlight w:val="white"/>
        </w:rPr>
        <w:t>（3）公务接待费</w:t>
      </w:r>
      <w:r>
        <w:rPr>
          <w:rFonts w:hint="eastAsia" w:ascii="仿宋" w:hAnsi="仿宋" w:eastAsia="仿宋"/>
          <w:color w:val="000000"/>
          <w:sz w:val="28"/>
          <w:szCs w:val="28"/>
          <w:highlight w:val="white"/>
        </w:rPr>
        <w:t>预算数为0万元，支出决算为0万元，完成预算的0%。国内公务接待0批次，累计0人次。其中：</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全年使用一般公共预算财政拨款国内公务接待0团组，累计0人次。</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b/>
          <w:color w:val="000000"/>
          <w:sz w:val="28"/>
          <w:szCs w:val="28"/>
          <w:highlight w:val="white"/>
        </w:rPr>
        <w:t>外事接待</w:t>
      </w:r>
      <w:r>
        <w:rPr>
          <w:rFonts w:hint="eastAsia" w:ascii="仿宋" w:hAnsi="仿宋" w:eastAsia="仿宋"/>
          <w:color w:val="000000"/>
          <w:sz w:val="28"/>
          <w:szCs w:val="28"/>
          <w:highlight w:val="white"/>
        </w:rPr>
        <w:t>支出0万元，接待0批次，累计0人次。</w:t>
      </w:r>
    </w:p>
    <w:p>
      <w:pPr>
        <w:spacing w:line="324" w:lineRule="auto"/>
        <w:ind w:firstLine="594"/>
        <w:rPr>
          <w:rFonts w:hint="eastAsia"/>
          <w:color w:val="000000"/>
          <w:sz w:val="28"/>
          <w:szCs w:val="28"/>
          <w:highlight w:val="white"/>
        </w:rPr>
      </w:pPr>
      <w:r>
        <w:rPr>
          <w:rFonts w:hint="eastAsia" w:ascii="仿宋" w:hAnsi="仿宋" w:eastAsia="仿宋"/>
          <w:b/>
          <w:color w:val="000000"/>
          <w:sz w:val="28"/>
          <w:szCs w:val="28"/>
          <w:highlight w:val="white"/>
        </w:rPr>
        <w:t>其他国内公务接待</w:t>
      </w:r>
      <w:r>
        <w:rPr>
          <w:rFonts w:hint="eastAsia" w:ascii="仿宋" w:hAnsi="仿宋" w:eastAsia="仿宋"/>
          <w:color w:val="000000"/>
          <w:sz w:val="28"/>
          <w:szCs w:val="28"/>
          <w:highlight w:val="white"/>
        </w:rPr>
        <w:t>支出0万元，接待0批次，累计0人次。</w:t>
      </w:r>
    </w:p>
    <w:p>
      <w:pPr>
        <w:spacing w:line="324" w:lineRule="auto"/>
        <w:ind w:firstLine="594"/>
        <w:rPr>
          <w:rFonts w:hint="eastAsia" w:ascii="楷体" w:hAnsi="楷体" w:eastAsia="楷体"/>
          <w:b/>
          <w:color w:val="000000"/>
          <w:sz w:val="28"/>
          <w:szCs w:val="28"/>
          <w:highlight w:val="white"/>
        </w:rPr>
      </w:pPr>
      <w:r>
        <w:rPr>
          <w:rFonts w:hint="eastAsia" w:ascii="楷体" w:hAnsi="楷体" w:eastAsia="楷体"/>
          <w:b/>
          <w:color w:val="000000"/>
          <w:sz w:val="28"/>
          <w:szCs w:val="28"/>
          <w:highlight w:val="white"/>
        </w:rPr>
        <w:t>（十）机关运行经费支出说明</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2021年度机关运行经费年初预算数为0万元，支出决算为0万元，预决算一致，且与2020年持平，主要原因是本单位为非参公事业单位，无机关运行经费。</w:t>
      </w:r>
    </w:p>
    <w:p>
      <w:pPr>
        <w:spacing w:line="324" w:lineRule="auto"/>
        <w:ind w:firstLine="562" w:firstLineChars="200"/>
        <w:rPr>
          <w:rFonts w:hint="eastAsia" w:ascii="仿宋" w:hAnsi="仿宋" w:eastAsia="仿宋"/>
          <w:b/>
          <w:sz w:val="28"/>
          <w:szCs w:val="28"/>
          <w:highlight w:val="white"/>
          <w:u w:val="single"/>
        </w:rPr>
      </w:pPr>
      <w:r>
        <w:rPr>
          <w:rFonts w:hint="eastAsia" w:ascii="楷体" w:hAnsi="楷体" w:eastAsia="楷体"/>
          <w:b/>
          <w:color w:val="000000"/>
          <w:sz w:val="28"/>
          <w:szCs w:val="28"/>
          <w:highlight w:val="white"/>
        </w:rPr>
        <w:t>（十一）政府采购支出说明</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2021年度政府采购支出总额0万元，其中：政府采购货物支出0万元、政府采购工程支出</w:t>
      </w:r>
      <w:r>
        <w:rPr>
          <w:rFonts w:hint="eastAsia" w:ascii="仿宋" w:hAnsi="仿宋" w:eastAsia="仿宋"/>
          <w:kern w:val="0"/>
          <w:sz w:val="28"/>
          <w:szCs w:val="28"/>
          <w:highlight w:val="white"/>
        </w:rPr>
        <w:t>0万元</w:t>
      </w:r>
      <w:r>
        <w:rPr>
          <w:rFonts w:hint="eastAsia" w:ascii="仿宋" w:hAnsi="仿宋" w:eastAsia="仿宋"/>
          <w:color w:val="000000"/>
          <w:sz w:val="28"/>
          <w:szCs w:val="28"/>
          <w:highlight w:val="white"/>
        </w:rPr>
        <w:t>、政府采购服务支出0万元。授予中小企业合同金额0万元，占政府采购支出总额的0%。其中，授予小微企业合同金额0万元，占授予中小企业合同金额的0%；货物采购授予中小企业合同金额占货物支出金额的0%，工程采购授予中小企业合同金额占工程支出金额的0%，服务采购授予中小企业合同金额占服务支出金额的0%。</w:t>
      </w:r>
    </w:p>
    <w:p>
      <w:pPr>
        <w:spacing w:line="324" w:lineRule="auto"/>
        <w:ind w:firstLine="594"/>
        <w:rPr>
          <w:rFonts w:hint="eastAsia" w:ascii="楷体" w:hAnsi="楷体" w:eastAsia="楷体"/>
          <w:b/>
          <w:color w:val="000000"/>
          <w:sz w:val="28"/>
          <w:szCs w:val="28"/>
          <w:highlight w:val="white"/>
        </w:rPr>
      </w:pPr>
      <w:r>
        <w:rPr>
          <w:rFonts w:hint="eastAsia" w:ascii="楷体" w:hAnsi="楷体" w:eastAsia="楷体"/>
          <w:b/>
          <w:color w:val="000000"/>
          <w:sz w:val="28"/>
          <w:szCs w:val="28"/>
          <w:highlight w:val="white"/>
        </w:rPr>
        <w:t>（十二）国有资产占有情况说明</w:t>
      </w:r>
    </w:p>
    <w:p>
      <w:pPr>
        <w:spacing w:line="324" w:lineRule="auto"/>
        <w:ind w:firstLine="594"/>
        <w:rPr>
          <w:rFonts w:hint="eastAsia" w:ascii="楷体" w:hAnsi="楷体" w:eastAsia="楷体"/>
          <w:b/>
          <w:color w:val="000000"/>
          <w:sz w:val="28"/>
          <w:szCs w:val="28"/>
          <w:highlight w:val="white"/>
        </w:rPr>
      </w:pPr>
      <w:r>
        <w:rPr>
          <w:rFonts w:hint="eastAsia" w:ascii="仿宋" w:hAnsi="仿宋" w:eastAsia="仿宋"/>
          <w:color w:val="000000"/>
          <w:sz w:val="28"/>
          <w:szCs w:val="28"/>
          <w:highlight w:val="white"/>
        </w:rPr>
        <w:t>截至2021年12月31日，</w:t>
      </w:r>
      <w:r>
        <w:rPr>
          <w:rFonts w:hint="eastAsia" w:ascii="仿宋" w:hAnsi="仿宋" w:eastAsia="仿宋"/>
          <w:color w:val="000000"/>
          <w:sz w:val="28"/>
          <w:szCs w:val="28"/>
          <w:highlight w:val="white"/>
          <w:lang w:eastAsia="zh-CN"/>
        </w:rPr>
        <w:t>兰溪市价格认证中心</w:t>
      </w:r>
      <w:r>
        <w:rPr>
          <w:rFonts w:hint="eastAsia" w:ascii="仿宋" w:hAnsi="仿宋" w:eastAsia="仿宋"/>
          <w:color w:val="000000"/>
          <w:sz w:val="28"/>
          <w:szCs w:val="28"/>
          <w:highlight w:val="white"/>
        </w:rPr>
        <w:t>共有车辆0辆，其中，副部（省）级及以上领导用车0辆、主要领导干部用车0辆、机要通信用车0辆、应急保障用车0辆、执法执勤用车0辆、特种专业技术用车0辆、离退休干部用车0辆、其他用车0辆,其他用车主要是0；单价50万元以上通用设备0台（套），单价100万元以上专用设备0台（套）。</w:t>
      </w:r>
      <w:r>
        <w:rPr>
          <w:rFonts w:hint="eastAsia" w:ascii="仿宋_GB2312" w:eastAsia="仿宋_GB2312"/>
          <w:color w:val="000000"/>
          <w:sz w:val="28"/>
          <w:szCs w:val="28"/>
          <w:highlight w:val="white"/>
        </w:rPr>
        <w:t xml:space="preserve"> </w:t>
      </w:r>
    </w:p>
    <w:p>
      <w:pPr>
        <w:spacing w:line="324" w:lineRule="auto"/>
        <w:ind w:firstLine="594"/>
        <w:rPr>
          <w:rFonts w:hint="eastAsia" w:ascii="仿宋" w:hAnsi="仿宋" w:eastAsia="仿宋"/>
          <w:color w:val="000000"/>
          <w:sz w:val="28"/>
          <w:szCs w:val="28"/>
          <w:highlight w:val="white"/>
        </w:rPr>
      </w:pPr>
      <w:r>
        <w:rPr>
          <w:rFonts w:hint="eastAsia" w:ascii="楷体" w:hAnsi="楷体" w:eastAsia="楷体"/>
          <w:b/>
          <w:color w:val="000000"/>
          <w:sz w:val="28"/>
          <w:szCs w:val="28"/>
          <w:highlight w:val="white"/>
        </w:rPr>
        <w:t>（十三）预算绩效情况说明</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b/>
          <w:color w:val="000000"/>
          <w:sz w:val="28"/>
          <w:szCs w:val="28"/>
          <w:highlight w:val="white"/>
        </w:rPr>
        <w:t>1.预算绩效管理工作开展情况。</w:t>
      </w:r>
    </w:p>
    <w:p>
      <w:pPr>
        <w:spacing w:line="324" w:lineRule="auto"/>
        <w:ind w:firstLine="594"/>
        <w:rPr>
          <w:rFonts w:hint="eastAsia" w:ascii="仿宋" w:hAnsi="仿宋" w:eastAsia="仿宋"/>
          <w:sz w:val="28"/>
          <w:szCs w:val="28"/>
          <w:highlight w:val="white"/>
        </w:rPr>
      </w:pPr>
      <w:r>
        <w:rPr>
          <w:rFonts w:hint="eastAsia" w:ascii="仿宋" w:hAnsi="仿宋" w:eastAsia="仿宋"/>
          <w:color w:val="000000"/>
          <w:sz w:val="28"/>
          <w:szCs w:val="28"/>
          <w:highlight w:val="white"/>
        </w:rPr>
        <w:t>根据预算绩效管理</w:t>
      </w:r>
      <w:r>
        <w:rPr>
          <w:rFonts w:hint="eastAsia" w:ascii="仿宋" w:hAnsi="仿宋" w:eastAsia="仿宋"/>
          <w:sz w:val="28"/>
          <w:szCs w:val="28"/>
          <w:highlight w:val="white"/>
        </w:rPr>
        <w:t>要求，兰溪市价格中心对2021年度一般公共预算项目支出全面开展绩效自评，其中，一级项目0个，二级项目1个，共涉及资金4万元，占一般公共预算项目支出总额的2.5%</w:t>
      </w:r>
    </w:p>
    <w:p>
      <w:pPr>
        <w:spacing w:line="324" w:lineRule="auto"/>
        <w:ind w:firstLine="594"/>
        <w:rPr>
          <w:rFonts w:hint="eastAsia" w:ascii="仿宋" w:hAnsi="仿宋" w:eastAsia="仿宋"/>
          <w:sz w:val="28"/>
          <w:szCs w:val="28"/>
          <w:highlight w:val="white"/>
        </w:rPr>
      </w:pPr>
      <w:r>
        <w:rPr>
          <w:rFonts w:hint="eastAsia" w:ascii="仿宋" w:hAnsi="仿宋" w:eastAsia="仿宋"/>
          <w:sz w:val="28"/>
          <w:szCs w:val="28"/>
          <w:highlight w:val="white"/>
        </w:rPr>
        <w:t>本年度无政府性基金预算项目，故未开展政府性基金预算项目支出绩效自评”）。</w:t>
      </w:r>
    </w:p>
    <w:p>
      <w:pPr>
        <w:spacing w:line="324" w:lineRule="auto"/>
        <w:ind w:firstLine="594"/>
        <w:rPr>
          <w:rFonts w:hint="eastAsia" w:ascii="仿宋" w:hAnsi="仿宋" w:eastAsia="仿宋"/>
          <w:sz w:val="28"/>
          <w:szCs w:val="28"/>
          <w:highlight w:val="white"/>
        </w:rPr>
      </w:pPr>
      <w:r>
        <w:rPr>
          <w:rFonts w:hint="eastAsia" w:ascii="仿宋" w:hAnsi="仿宋" w:eastAsia="仿宋"/>
          <w:sz w:val="28"/>
          <w:szCs w:val="28"/>
          <w:highlight w:val="white"/>
        </w:rPr>
        <w:t>本年无国有资本经营预算项目。</w:t>
      </w:r>
    </w:p>
    <w:p>
      <w:pPr>
        <w:spacing w:line="324" w:lineRule="auto"/>
        <w:ind w:firstLine="594"/>
        <w:rPr>
          <w:rFonts w:hint="eastAsia" w:ascii="仿宋" w:hAnsi="仿宋" w:eastAsia="仿宋"/>
          <w:sz w:val="28"/>
          <w:szCs w:val="28"/>
          <w:highlight w:val="white"/>
        </w:rPr>
      </w:pPr>
      <w:r>
        <w:rPr>
          <w:rFonts w:hint="eastAsia" w:ascii="仿宋" w:hAnsi="仿宋" w:eastAsia="仿宋"/>
          <w:sz w:val="28"/>
          <w:szCs w:val="28"/>
          <w:highlight w:val="white"/>
        </w:rPr>
        <w:t>本年无部门整体支出绩效评价。</w:t>
      </w:r>
    </w:p>
    <w:p>
      <w:pPr>
        <w:spacing w:line="324" w:lineRule="auto"/>
        <w:ind w:firstLine="594"/>
        <w:rPr>
          <w:rFonts w:hint="eastAsia" w:ascii="仿宋" w:hAnsi="仿宋" w:eastAsia="仿宋"/>
          <w:sz w:val="28"/>
          <w:szCs w:val="28"/>
          <w:highlight w:val="white"/>
        </w:rPr>
      </w:pPr>
      <w:r>
        <w:rPr>
          <w:rFonts w:hint="eastAsia" w:ascii="仿宋" w:hAnsi="仿宋" w:eastAsia="仿宋"/>
          <w:sz w:val="28"/>
          <w:szCs w:val="28"/>
          <w:highlight w:val="white"/>
        </w:rPr>
        <w:t>本年无下属单位整体支出绩效评价。</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b/>
          <w:color w:val="000000"/>
          <w:sz w:val="28"/>
          <w:szCs w:val="28"/>
          <w:highlight w:val="white"/>
        </w:rPr>
        <w:t>2.部门（单位）决算中项目绩效自评结果</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兰溪市价格认证中心2021年度单位决算中反映</w:t>
      </w:r>
      <w:r>
        <w:rPr>
          <w:rFonts w:hint="eastAsia" w:ascii="仿宋" w:hAnsi="仿宋" w:eastAsia="仿宋"/>
          <w:color w:val="000000"/>
          <w:sz w:val="28"/>
          <w:szCs w:val="28"/>
        </w:rPr>
        <w:t>价格信息采集费</w:t>
      </w:r>
      <w:r>
        <w:rPr>
          <w:rFonts w:hint="eastAsia" w:ascii="仿宋" w:hAnsi="仿宋" w:eastAsia="仿宋"/>
          <w:color w:val="000000"/>
          <w:sz w:val="28"/>
          <w:szCs w:val="28"/>
          <w:highlight w:val="white"/>
        </w:rPr>
        <w:t>项目绩效自评结果。本单位</w:t>
      </w:r>
      <w:r>
        <w:rPr>
          <w:rFonts w:hint="eastAsia" w:ascii="仿宋" w:hAnsi="仿宋" w:eastAsia="仿宋"/>
          <w:color w:val="000000"/>
          <w:sz w:val="28"/>
          <w:szCs w:val="28"/>
        </w:rPr>
        <w:t>在2021年度只有一个预算项目。</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rPr>
        <w:t>价格信息采集费</w:t>
      </w:r>
      <w:r>
        <w:rPr>
          <w:rFonts w:hint="eastAsia" w:ascii="仿宋" w:hAnsi="仿宋" w:eastAsia="仿宋"/>
          <w:color w:val="000000"/>
          <w:sz w:val="28"/>
          <w:szCs w:val="28"/>
          <w:highlight w:val="white"/>
        </w:rPr>
        <w:t>项目绩效自评综述：根据年初设定的绩效目标，项目自评得分100分，自评结论为“优”。项目全年预算数为4万元，执行数为4万元，完成预算的100%。项目绩效目标完成情况：</w:t>
      </w:r>
      <w:r>
        <w:rPr>
          <w:rFonts w:hint="eastAsia" w:ascii="仿宋" w:hAnsi="仿宋" w:eastAsia="仿宋"/>
          <w:color w:val="000000"/>
          <w:sz w:val="28"/>
          <w:szCs w:val="28"/>
        </w:rPr>
        <w:t>1.完成支付价格认定专家费；2.完成价格认定市场调查机制调查点管理经费</w:t>
      </w:r>
      <w:r>
        <w:rPr>
          <w:rFonts w:hint="eastAsia" w:ascii="仿宋" w:hAnsi="仿宋" w:eastAsia="仿宋"/>
          <w:color w:val="000000"/>
          <w:sz w:val="28"/>
          <w:szCs w:val="28"/>
          <w:highlight w:val="white"/>
        </w:rPr>
        <w:t>。发现的问题及原因：无。下一步改进措施：无。</w:t>
      </w:r>
    </w:p>
    <w:p>
      <w:pPr>
        <w:spacing w:line="324" w:lineRule="auto"/>
        <w:ind w:firstLine="594"/>
        <w:rPr>
          <w:rFonts w:hint="eastAsia" w:ascii="仿宋" w:hAnsi="仿宋" w:eastAsia="仿宋"/>
          <w:color w:val="000000"/>
          <w:sz w:val="28"/>
          <w:szCs w:val="28"/>
        </w:rPr>
      </w:pPr>
      <w:r>
        <w:rPr>
          <w:rFonts w:hint="eastAsia" w:ascii="仿宋" w:hAnsi="仿宋" w:eastAsia="仿宋"/>
          <w:color w:val="000000"/>
          <w:sz w:val="28"/>
          <w:szCs w:val="28"/>
        </w:rPr>
        <w:t>附价格信息采集费项目绩效自评表。</w:t>
      </w:r>
    </w:p>
    <w:tbl>
      <w:tblPr>
        <w:tblStyle w:val="2"/>
        <w:tblW w:w="9360" w:type="dxa"/>
        <w:tblInd w:w="93" w:type="dxa"/>
        <w:tblLayout w:type="autofit"/>
        <w:tblCellMar>
          <w:top w:w="0" w:type="dxa"/>
          <w:left w:w="108" w:type="dxa"/>
          <w:bottom w:w="0" w:type="dxa"/>
          <w:right w:w="108" w:type="dxa"/>
        </w:tblCellMar>
      </w:tblPr>
      <w:tblGrid>
        <w:gridCol w:w="489"/>
        <w:gridCol w:w="486"/>
        <w:gridCol w:w="480"/>
        <w:gridCol w:w="1880"/>
        <w:gridCol w:w="1005"/>
        <w:gridCol w:w="975"/>
        <w:gridCol w:w="660"/>
        <w:gridCol w:w="615"/>
        <w:gridCol w:w="2770"/>
      </w:tblGrid>
      <w:tr>
        <w:tblPrEx>
          <w:tblCellMar>
            <w:top w:w="0" w:type="dxa"/>
            <w:left w:w="108" w:type="dxa"/>
            <w:bottom w:w="0" w:type="dxa"/>
            <w:right w:w="108" w:type="dxa"/>
          </w:tblCellMar>
        </w:tblPrEx>
        <w:trPr>
          <w:trHeight w:val="400" w:hRule="atLeast"/>
        </w:trPr>
        <w:tc>
          <w:tcPr>
            <w:tcW w:w="9360" w:type="dxa"/>
            <w:gridSpan w:val="9"/>
            <w:tcBorders>
              <w:top w:val="nil"/>
              <w:left w:val="nil"/>
              <w:bottom w:val="nil"/>
              <w:right w:val="nil"/>
            </w:tcBorders>
            <w:shd w:val="clear" w:color="auto" w:fill="auto"/>
            <w:noWrap/>
            <w:vAlign w:val="center"/>
          </w:tcPr>
          <w:p>
            <w:pPr>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项目支出绩效自评表</w:t>
            </w:r>
          </w:p>
        </w:tc>
      </w:tr>
      <w:tr>
        <w:tblPrEx>
          <w:tblCellMar>
            <w:top w:w="0" w:type="dxa"/>
            <w:left w:w="108" w:type="dxa"/>
            <w:bottom w:w="0" w:type="dxa"/>
            <w:right w:w="108" w:type="dxa"/>
          </w:tblCellMar>
        </w:tblPrEx>
        <w:trPr>
          <w:trHeight w:val="200" w:hRule="atLeast"/>
        </w:trPr>
        <w:tc>
          <w:tcPr>
            <w:tcW w:w="9360" w:type="dxa"/>
            <w:gridSpan w:val="9"/>
            <w:tcBorders>
              <w:top w:val="nil"/>
              <w:left w:val="nil"/>
              <w:bottom w:val="nil"/>
              <w:right w:val="nil"/>
            </w:tcBorders>
            <w:shd w:val="clear" w:color="auto" w:fill="auto"/>
            <w:noWrap/>
            <w:vAlign w:val="center"/>
          </w:tcPr>
          <w:p>
            <w:pPr>
              <w:jc w:val="center"/>
              <w:rPr>
                <w:color w:val="000000"/>
                <w:kern w:val="0"/>
                <w:sz w:val="20"/>
                <w:szCs w:val="20"/>
              </w:rPr>
            </w:pPr>
            <w:r>
              <w:rPr>
                <w:rFonts w:ascii="仿宋_GB2312" w:eastAsia="仿宋_GB2312"/>
                <w:color w:val="000000"/>
                <w:kern w:val="0"/>
                <w:sz w:val="20"/>
              </w:rPr>
              <w:t>（</w:t>
            </w:r>
            <w:r>
              <w:rPr>
                <w:color w:val="000000"/>
                <w:kern w:val="0"/>
                <w:sz w:val="20"/>
              </w:rPr>
              <w:t>2021</w:t>
            </w:r>
            <w:r>
              <w:rPr>
                <w:rFonts w:ascii="仿宋_GB2312" w:eastAsia="仿宋_GB2312"/>
                <w:color w:val="000000"/>
                <w:kern w:val="0"/>
                <w:sz w:val="20"/>
              </w:rPr>
              <w:t>年度）</w:t>
            </w:r>
          </w:p>
        </w:tc>
      </w:tr>
      <w:tr>
        <w:tblPrEx>
          <w:tblCellMar>
            <w:top w:w="0" w:type="dxa"/>
            <w:left w:w="108" w:type="dxa"/>
            <w:bottom w:w="0" w:type="dxa"/>
            <w:right w:w="108" w:type="dxa"/>
          </w:tblCellMar>
        </w:tblPrEx>
        <w:trPr>
          <w:trHeight w:val="285" w:hRule="atLeast"/>
        </w:trPr>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34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rPr>
            </w:pPr>
            <w:r>
              <w:rPr>
                <w:rFonts w:hint="eastAsia" w:ascii="宋体" w:hAnsi="宋体" w:cs="宋体"/>
                <w:color w:val="000000"/>
                <w:kern w:val="0"/>
              </w:rPr>
              <w:t>价格信息采集费</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项目负责人</w:t>
            </w:r>
          </w:p>
        </w:tc>
        <w:tc>
          <w:tcPr>
            <w:tcW w:w="4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rPr>
            </w:pPr>
            <w:r>
              <w:rPr>
                <w:rFonts w:hint="eastAsia" w:ascii="宋体" w:hAnsi="宋体" w:cs="宋体"/>
                <w:color w:val="000000"/>
                <w:kern w:val="0"/>
              </w:rPr>
              <w:t>李碧华</w:t>
            </w:r>
          </w:p>
        </w:tc>
      </w:tr>
      <w:tr>
        <w:tblPrEx>
          <w:tblCellMar>
            <w:top w:w="0" w:type="dxa"/>
            <w:left w:w="108" w:type="dxa"/>
            <w:bottom w:w="0" w:type="dxa"/>
            <w:right w:w="108" w:type="dxa"/>
          </w:tblCellMar>
        </w:tblPrEx>
        <w:trPr>
          <w:trHeight w:val="285" w:hRule="atLeast"/>
        </w:trPr>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2"/>
                <w:szCs w:val="12"/>
              </w:rPr>
            </w:pPr>
            <w:r>
              <w:rPr>
                <w:rFonts w:hint="eastAsia" w:ascii="宋体" w:hAnsi="宋体" w:cs="宋体"/>
                <w:color w:val="000000"/>
                <w:kern w:val="0"/>
                <w:sz w:val="12"/>
                <w:szCs w:val="12"/>
              </w:rPr>
              <w:t>预算单位盖章</w:t>
            </w:r>
          </w:p>
        </w:tc>
        <w:tc>
          <w:tcPr>
            <w:tcW w:w="34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kern w:val="0"/>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4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兰溪市发展和改革局</w:t>
            </w:r>
          </w:p>
        </w:tc>
      </w:tr>
      <w:tr>
        <w:tblPrEx>
          <w:tblCellMar>
            <w:top w:w="0" w:type="dxa"/>
            <w:left w:w="108" w:type="dxa"/>
            <w:bottom w:w="0" w:type="dxa"/>
            <w:right w:w="108" w:type="dxa"/>
          </w:tblCellMar>
        </w:tblPrEx>
        <w:trPr>
          <w:trHeight w:val="200" w:hRule="atLeast"/>
        </w:trPr>
        <w:tc>
          <w:tcPr>
            <w:tcW w:w="8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项目资金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（万元）</w:t>
            </w:r>
          </w:p>
        </w:tc>
        <w:tc>
          <w:tcPr>
            <w:tcW w:w="24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Calibri" w:hAnsi="Calibri" w:cs="宋体"/>
                <w:color w:val="000000"/>
                <w:kern w:val="0"/>
              </w:rPr>
            </w:pPr>
            <w:r>
              <w:rPr>
                <w:rFonts w:ascii="Calibri" w:hAnsi="Calibri" w:cs="宋体"/>
                <w:color w:val="000000"/>
                <w:kern w:val="0"/>
              </w:rPr>
              <w:t>资金来源</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年初预算数</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全年预算数</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全年执行数</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执行率</w:t>
            </w:r>
          </w:p>
        </w:tc>
      </w:tr>
      <w:tr>
        <w:tblPrEx>
          <w:tblCellMar>
            <w:top w:w="0" w:type="dxa"/>
            <w:left w:w="108" w:type="dxa"/>
            <w:bottom w:w="0" w:type="dxa"/>
            <w:right w:w="108" w:type="dxa"/>
          </w:tblCellMar>
        </w:tblPrEx>
        <w:trPr>
          <w:trHeight w:val="180"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8"/>
                <w:szCs w:val="18"/>
              </w:rPr>
            </w:pPr>
          </w:p>
        </w:tc>
        <w:tc>
          <w:tcPr>
            <w:tcW w:w="247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Calibri" w:hAnsi="Calibri" w:cs="宋体"/>
                <w:color w:val="000000"/>
                <w:kern w:val="0"/>
              </w:rPr>
            </w:pPr>
          </w:p>
        </w:tc>
        <w:tc>
          <w:tcPr>
            <w:tcW w:w="100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r>
              <w:rPr>
                <w:rFonts w:ascii="宋体" w:hAnsi="宋体" w:cs="宋体"/>
                <w:color w:val="000000"/>
                <w:kern w:val="0"/>
                <w:sz w:val="18"/>
              </w:rPr>
              <w:t>（</w:t>
            </w:r>
            <w:r>
              <w:rPr>
                <w:color w:val="000000"/>
                <w:kern w:val="0"/>
                <w:sz w:val="18"/>
              </w:rPr>
              <w:t>A</w:t>
            </w:r>
            <w:r>
              <w:rPr>
                <w:rFonts w:ascii="宋体" w:hAnsi="宋体" w:cs="宋体"/>
                <w:color w:val="000000"/>
                <w:kern w:val="0"/>
                <w:sz w:val="18"/>
              </w:rPr>
              <w:t>）</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r>
              <w:rPr>
                <w:rFonts w:ascii="宋体" w:hAnsi="宋体" w:cs="宋体"/>
                <w:color w:val="000000"/>
                <w:kern w:val="0"/>
                <w:sz w:val="18"/>
              </w:rPr>
              <w:t>（</w:t>
            </w:r>
            <w:r>
              <w:rPr>
                <w:color w:val="000000"/>
                <w:kern w:val="0"/>
                <w:sz w:val="18"/>
              </w:rPr>
              <w:t>B</w:t>
            </w:r>
            <w:r>
              <w:rPr>
                <w:rFonts w:ascii="宋体" w:hAnsi="宋体" w:cs="宋体"/>
                <w:color w:val="000000"/>
                <w:kern w:val="0"/>
                <w:sz w:val="18"/>
              </w:rPr>
              <w:t>）</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r>
              <w:rPr>
                <w:rFonts w:ascii="宋体" w:hAnsi="宋体" w:cs="宋体"/>
                <w:color w:val="000000"/>
                <w:kern w:val="0"/>
                <w:sz w:val="18"/>
              </w:rPr>
              <w:t>（</w:t>
            </w:r>
            <w:r>
              <w:rPr>
                <w:color w:val="000000"/>
                <w:kern w:val="0"/>
                <w:sz w:val="18"/>
              </w:rPr>
              <w:t>B/A</w:t>
            </w:r>
            <w:r>
              <w:rPr>
                <w:rFonts w:ascii="宋体" w:hAnsi="宋体" w:cs="宋体"/>
                <w:color w:val="000000"/>
                <w:kern w:val="0"/>
                <w:sz w:val="18"/>
              </w:rPr>
              <w:t>）</w:t>
            </w:r>
          </w:p>
        </w:tc>
      </w:tr>
      <w:tr>
        <w:tblPrEx>
          <w:tblCellMar>
            <w:top w:w="0" w:type="dxa"/>
            <w:left w:w="108" w:type="dxa"/>
            <w:bottom w:w="0" w:type="dxa"/>
            <w:right w:w="108" w:type="dxa"/>
          </w:tblCellMar>
        </w:tblPrEx>
        <w:trPr>
          <w:trHeight w:val="285"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8"/>
                <w:szCs w:val="18"/>
              </w:rPr>
            </w:pP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年度资金总额</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color w:val="000000"/>
                <w:kern w:val="0"/>
                <w:sz w:val="18"/>
                <w:szCs w:val="18"/>
              </w:rPr>
            </w:pPr>
            <w:r>
              <w:rPr>
                <w:color w:val="000000"/>
                <w:kern w:val="0"/>
                <w:sz w:val="18"/>
                <w:szCs w:val="18"/>
              </w:rPr>
              <w:t>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color w:val="000000"/>
                <w:kern w:val="0"/>
                <w:sz w:val="18"/>
                <w:szCs w:val="18"/>
              </w:rPr>
            </w:pPr>
            <w:r>
              <w:rPr>
                <w:color w:val="000000"/>
                <w:kern w:val="0"/>
                <w:sz w:val="18"/>
                <w:szCs w:val="18"/>
              </w:rPr>
              <w:t>4</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color w:val="000000"/>
                <w:kern w:val="0"/>
                <w:sz w:val="18"/>
                <w:szCs w:val="18"/>
              </w:rPr>
            </w:pPr>
            <w:r>
              <w:rPr>
                <w:color w:val="000000"/>
                <w:kern w:val="0"/>
                <w:sz w:val="18"/>
                <w:szCs w:val="18"/>
              </w:rPr>
              <w:t>4</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r>
              <w:rPr>
                <w:color w:val="000000"/>
                <w:kern w:val="0"/>
                <w:sz w:val="18"/>
                <w:szCs w:val="18"/>
              </w:rPr>
              <w:t>100.0%</w:t>
            </w:r>
          </w:p>
        </w:tc>
      </w:tr>
      <w:tr>
        <w:tblPrEx>
          <w:tblCellMar>
            <w:top w:w="0" w:type="dxa"/>
            <w:left w:w="108" w:type="dxa"/>
            <w:bottom w:w="0" w:type="dxa"/>
            <w:right w:w="108" w:type="dxa"/>
          </w:tblCellMar>
        </w:tblPrEx>
        <w:trPr>
          <w:trHeight w:val="285"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8"/>
                <w:szCs w:val="18"/>
              </w:rPr>
            </w:pP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其中：一般公共预算本级资金</w:t>
            </w:r>
          </w:p>
        </w:tc>
        <w:tc>
          <w:tcPr>
            <w:tcW w:w="1005" w:type="dxa"/>
            <w:tcBorders>
              <w:top w:val="single" w:color="000000" w:sz="4" w:space="0"/>
              <w:left w:val="nil"/>
              <w:bottom w:val="single" w:color="000000" w:sz="4" w:space="0"/>
              <w:right w:val="single" w:color="000000" w:sz="4" w:space="0"/>
            </w:tcBorders>
            <w:shd w:val="clear" w:color="auto" w:fill="auto"/>
            <w:vAlign w:val="center"/>
          </w:tcPr>
          <w:p>
            <w:pPr>
              <w:jc w:val="right"/>
              <w:rPr>
                <w:color w:val="000000"/>
                <w:kern w:val="0"/>
                <w:sz w:val="18"/>
                <w:szCs w:val="18"/>
              </w:rPr>
            </w:pPr>
            <w:r>
              <w:rPr>
                <w:color w:val="000000"/>
                <w:kern w:val="0"/>
                <w:sz w:val="18"/>
                <w:szCs w:val="18"/>
              </w:rPr>
              <w:t>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color w:val="000000"/>
                <w:kern w:val="0"/>
                <w:sz w:val="18"/>
                <w:szCs w:val="18"/>
              </w:rPr>
            </w:pPr>
            <w:r>
              <w:rPr>
                <w:color w:val="000000"/>
                <w:kern w:val="0"/>
                <w:sz w:val="18"/>
                <w:szCs w:val="18"/>
              </w:rPr>
              <w:t>4</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color w:val="000000"/>
                <w:kern w:val="0"/>
                <w:sz w:val="18"/>
                <w:szCs w:val="18"/>
              </w:rPr>
            </w:pPr>
            <w:r>
              <w:rPr>
                <w:color w:val="000000"/>
                <w:kern w:val="0"/>
                <w:sz w:val="18"/>
                <w:szCs w:val="18"/>
              </w:rPr>
              <w:t>4</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r>
              <w:rPr>
                <w:color w:val="000000"/>
                <w:kern w:val="0"/>
                <w:sz w:val="18"/>
                <w:szCs w:val="18"/>
              </w:rPr>
              <w:t>100.0%</w:t>
            </w:r>
          </w:p>
        </w:tc>
      </w:tr>
      <w:tr>
        <w:tblPrEx>
          <w:tblCellMar>
            <w:top w:w="0" w:type="dxa"/>
            <w:left w:w="108" w:type="dxa"/>
            <w:bottom w:w="0" w:type="dxa"/>
            <w:right w:w="108" w:type="dxa"/>
          </w:tblCellMar>
        </w:tblPrEx>
        <w:trPr>
          <w:trHeight w:val="285"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8"/>
                <w:szCs w:val="18"/>
              </w:rPr>
            </w:pP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xml:space="preserve">      一般公共预算上级资金</w:t>
            </w:r>
          </w:p>
        </w:tc>
        <w:tc>
          <w:tcPr>
            <w:tcW w:w="1005" w:type="dxa"/>
            <w:tcBorders>
              <w:top w:val="single" w:color="000000" w:sz="4" w:space="0"/>
              <w:left w:val="nil"/>
              <w:bottom w:val="single" w:color="000000" w:sz="4" w:space="0"/>
              <w:right w:val="single" w:color="000000" w:sz="4" w:space="0"/>
            </w:tcBorders>
            <w:shd w:val="clear" w:color="auto" w:fill="auto"/>
            <w:vAlign w:val="center"/>
          </w:tcPr>
          <w:p>
            <w:pPr>
              <w:jc w:val="left"/>
              <w:rPr>
                <w:color w:val="000000"/>
                <w:kern w:val="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color w:val="000000"/>
                <w:kern w:val="0"/>
                <w:sz w:val="18"/>
                <w:szCs w:val="18"/>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color w:val="000000"/>
                <w:kern w:val="0"/>
                <w:sz w:val="18"/>
                <w:szCs w:val="18"/>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r>
      <w:tr>
        <w:tblPrEx>
          <w:tblCellMar>
            <w:top w:w="0" w:type="dxa"/>
            <w:left w:w="108" w:type="dxa"/>
            <w:bottom w:w="0" w:type="dxa"/>
            <w:right w:w="108" w:type="dxa"/>
          </w:tblCellMar>
        </w:tblPrEx>
        <w:trPr>
          <w:trHeight w:val="240"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8"/>
                <w:szCs w:val="18"/>
              </w:rPr>
            </w:pP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xml:space="preserve">    政府性基金预算本级资金</w:t>
            </w:r>
          </w:p>
        </w:tc>
        <w:tc>
          <w:tcPr>
            <w:tcW w:w="1005" w:type="dxa"/>
            <w:tcBorders>
              <w:top w:val="single" w:color="000000" w:sz="4" w:space="0"/>
              <w:left w:val="nil"/>
              <w:bottom w:val="single" w:color="000000" w:sz="4" w:space="0"/>
              <w:right w:val="single" w:color="000000" w:sz="4" w:space="0"/>
            </w:tcBorders>
            <w:shd w:val="clear" w:color="auto" w:fill="auto"/>
            <w:vAlign w:val="center"/>
          </w:tcPr>
          <w:p>
            <w:pPr>
              <w:jc w:val="left"/>
              <w:rPr>
                <w:color w:val="000000"/>
                <w:kern w:val="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color w:val="000000"/>
                <w:kern w:val="0"/>
                <w:sz w:val="18"/>
                <w:szCs w:val="18"/>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color w:val="000000"/>
                <w:kern w:val="0"/>
                <w:sz w:val="18"/>
                <w:szCs w:val="18"/>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r>
      <w:tr>
        <w:tblPrEx>
          <w:tblCellMar>
            <w:top w:w="0" w:type="dxa"/>
            <w:left w:w="108" w:type="dxa"/>
            <w:bottom w:w="0" w:type="dxa"/>
            <w:right w:w="108" w:type="dxa"/>
          </w:tblCellMar>
        </w:tblPrEx>
        <w:trPr>
          <w:trHeight w:val="240"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8"/>
                <w:szCs w:val="18"/>
              </w:rPr>
            </w:pP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xml:space="preserve">    政府性基金预算上级资金</w:t>
            </w:r>
          </w:p>
        </w:tc>
        <w:tc>
          <w:tcPr>
            <w:tcW w:w="1005" w:type="dxa"/>
            <w:tcBorders>
              <w:top w:val="single" w:color="000000" w:sz="4" w:space="0"/>
              <w:left w:val="nil"/>
              <w:bottom w:val="single" w:color="000000" w:sz="4" w:space="0"/>
              <w:right w:val="single" w:color="000000" w:sz="4" w:space="0"/>
            </w:tcBorders>
            <w:shd w:val="clear" w:color="auto" w:fill="auto"/>
            <w:vAlign w:val="center"/>
          </w:tcPr>
          <w:p>
            <w:pPr>
              <w:jc w:val="left"/>
              <w:rPr>
                <w:color w:val="000000"/>
                <w:kern w:val="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color w:val="000000"/>
                <w:kern w:val="0"/>
                <w:sz w:val="18"/>
                <w:szCs w:val="18"/>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color w:val="000000"/>
                <w:kern w:val="0"/>
                <w:sz w:val="18"/>
                <w:szCs w:val="18"/>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r>
      <w:tr>
        <w:tblPrEx>
          <w:tblCellMar>
            <w:top w:w="0" w:type="dxa"/>
            <w:left w:w="108" w:type="dxa"/>
            <w:bottom w:w="0" w:type="dxa"/>
            <w:right w:w="108" w:type="dxa"/>
          </w:tblCellMar>
        </w:tblPrEx>
        <w:trPr>
          <w:trHeight w:val="240"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8"/>
                <w:szCs w:val="18"/>
              </w:rPr>
            </w:pP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kern w:val="0"/>
                <w:sz w:val="18"/>
                <w:szCs w:val="18"/>
              </w:rPr>
            </w:pPr>
          </w:p>
        </w:tc>
        <w:tc>
          <w:tcPr>
            <w:tcW w:w="1005" w:type="dxa"/>
            <w:tcBorders>
              <w:top w:val="single" w:color="000000" w:sz="4" w:space="0"/>
              <w:left w:val="nil"/>
              <w:bottom w:val="single" w:color="000000" w:sz="4" w:space="0"/>
              <w:right w:val="single" w:color="000000" w:sz="4" w:space="0"/>
            </w:tcBorders>
            <w:shd w:val="clear" w:color="auto" w:fill="auto"/>
            <w:vAlign w:val="center"/>
          </w:tcPr>
          <w:p>
            <w:pPr>
              <w:jc w:val="left"/>
              <w:rPr>
                <w:color w:val="000000"/>
                <w:kern w:val="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color w:val="000000"/>
                <w:kern w:val="0"/>
                <w:sz w:val="18"/>
                <w:szCs w:val="18"/>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color w:val="000000"/>
                <w:kern w:val="0"/>
                <w:sz w:val="18"/>
                <w:szCs w:val="18"/>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r>
      <w:tr>
        <w:tblPrEx>
          <w:tblCellMar>
            <w:top w:w="0" w:type="dxa"/>
            <w:left w:w="108" w:type="dxa"/>
            <w:bottom w:w="0" w:type="dxa"/>
            <w:right w:w="108" w:type="dxa"/>
          </w:tblCellMar>
        </w:tblPrEx>
        <w:trPr>
          <w:trHeight w:val="285"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8"/>
                <w:szCs w:val="18"/>
              </w:rPr>
            </w:pP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color w:val="000000"/>
                <w:kern w:val="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color w:val="000000"/>
                <w:kern w:val="0"/>
                <w:sz w:val="18"/>
                <w:szCs w:val="18"/>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color w:val="000000"/>
                <w:kern w:val="0"/>
                <w:sz w:val="18"/>
                <w:szCs w:val="18"/>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r>
      <w:tr>
        <w:tblPrEx>
          <w:tblCellMar>
            <w:top w:w="0" w:type="dxa"/>
            <w:left w:w="108" w:type="dxa"/>
            <w:bottom w:w="0" w:type="dxa"/>
            <w:right w:w="108" w:type="dxa"/>
          </w:tblCellMar>
        </w:tblPrEx>
        <w:trPr>
          <w:trHeight w:val="280" w:hRule="atLeast"/>
        </w:trPr>
        <w:tc>
          <w:tcPr>
            <w:tcW w:w="8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年度总体目标</w:t>
            </w:r>
          </w:p>
        </w:tc>
        <w:tc>
          <w:tcPr>
            <w:tcW w:w="34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预期目标</w:t>
            </w:r>
          </w:p>
        </w:tc>
        <w:tc>
          <w:tcPr>
            <w:tcW w:w="50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实际完成情况</w:t>
            </w:r>
          </w:p>
        </w:tc>
      </w:tr>
      <w:tr>
        <w:tblPrEx>
          <w:tblCellMar>
            <w:top w:w="0" w:type="dxa"/>
            <w:left w:w="108" w:type="dxa"/>
            <w:bottom w:w="0" w:type="dxa"/>
            <w:right w:w="108" w:type="dxa"/>
          </w:tblCellMar>
        </w:tblPrEx>
        <w:trPr>
          <w:trHeight w:val="780" w:hRule="atLeast"/>
        </w:trPr>
        <w:tc>
          <w:tcPr>
            <w:tcW w:w="81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8"/>
                <w:szCs w:val="18"/>
              </w:rPr>
            </w:pPr>
          </w:p>
        </w:tc>
        <w:tc>
          <w:tcPr>
            <w:tcW w:w="34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1.价格认定专家费；2.价格认定市场调查机制调查点管理经费</w:t>
            </w:r>
          </w:p>
        </w:tc>
        <w:tc>
          <w:tcPr>
            <w:tcW w:w="50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1.完成支付价格认定专家费；2.完成价格认定市场调查机制调查点管理经费</w:t>
            </w:r>
          </w:p>
        </w:tc>
      </w:tr>
      <w:tr>
        <w:tblPrEx>
          <w:tblCellMar>
            <w:top w:w="0" w:type="dxa"/>
            <w:left w:w="108" w:type="dxa"/>
            <w:bottom w:w="0" w:type="dxa"/>
            <w:right w:w="108" w:type="dxa"/>
          </w:tblCellMar>
        </w:tblPrEx>
        <w:trPr>
          <w:trHeight w:val="360" w:hRule="atLeast"/>
        </w:trPr>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绩效指标100分</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2"/>
                <w:szCs w:val="12"/>
              </w:rPr>
            </w:pPr>
            <w:r>
              <w:rPr>
                <w:rFonts w:hint="eastAsia" w:ascii="宋体" w:hAnsi="宋体" w:cs="宋体"/>
                <w:color w:val="000000"/>
                <w:kern w:val="0"/>
                <w:sz w:val="12"/>
                <w:szCs w:val="12"/>
              </w:rPr>
              <w:t>一级指标</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2"/>
                <w:szCs w:val="12"/>
              </w:rPr>
            </w:pPr>
            <w:r>
              <w:rPr>
                <w:rFonts w:hint="eastAsia" w:ascii="宋体" w:hAnsi="宋体" w:cs="宋体"/>
                <w:color w:val="000000"/>
                <w:kern w:val="0"/>
                <w:sz w:val="12"/>
                <w:szCs w:val="12"/>
              </w:rPr>
              <w:t>二级指标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年度指标值</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实际完成值</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偏差原因分析及改进措施</w:t>
            </w:r>
          </w:p>
        </w:tc>
      </w:tr>
      <w:tr>
        <w:tblPrEx>
          <w:tblCellMar>
            <w:top w:w="0" w:type="dxa"/>
            <w:left w:w="108" w:type="dxa"/>
            <w:bottom w:w="0" w:type="dxa"/>
            <w:right w:w="108" w:type="dxa"/>
          </w:tblCellMar>
        </w:tblPrEx>
        <w:trPr>
          <w:trHeight w:val="420" w:hRule="atLeast"/>
        </w:trPr>
        <w:tc>
          <w:tcPr>
            <w:tcW w:w="43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bCs/>
                <w:color w:val="000000"/>
                <w:kern w:val="0"/>
                <w:sz w:val="18"/>
                <w:szCs w:val="18"/>
              </w:rPr>
            </w:pP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产出指标(50分)</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6"/>
                <w:szCs w:val="16"/>
              </w:rPr>
            </w:pPr>
            <w:r>
              <w:rPr>
                <w:rFonts w:hint="eastAsia" w:ascii="宋体" w:hAnsi="宋体" w:cs="宋体"/>
                <w:color w:val="000000"/>
                <w:kern w:val="0"/>
                <w:sz w:val="16"/>
                <w:szCs w:val="16"/>
              </w:rPr>
              <w:t>数量指标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kern w:val="0"/>
                <w:sz w:val="18"/>
                <w:szCs w:val="18"/>
              </w:rPr>
            </w:pPr>
            <w:r>
              <w:rPr>
                <w:rFonts w:hint="eastAsia" w:ascii="宋体" w:hAnsi="宋体" w:cs="宋体"/>
                <w:color w:val="000000"/>
                <w:kern w:val="0"/>
                <w:sz w:val="18"/>
                <w:szCs w:val="18"/>
              </w:rPr>
              <w:t>协助提出机关办理案件数</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r>
              <w:rPr>
                <w:color w:val="000000"/>
                <w:kern w:val="0"/>
                <w:sz w:val="18"/>
                <w:szCs w:val="18"/>
              </w:rPr>
              <w:t>≥150</w:t>
            </w:r>
            <w:r>
              <w:rPr>
                <w:rFonts w:ascii="宋体" w:hAnsi="宋体"/>
                <w:color w:val="000000"/>
                <w:kern w:val="0"/>
                <w:sz w:val="18"/>
              </w:rPr>
              <w:t>件</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kern w:val="0"/>
                <w:sz w:val="18"/>
                <w:szCs w:val="18"/>
              </w:rPr>
            </w:pPr>
            <w:r>
              <w:rPr>
                <w:rFonts w:hint="eastAsia" w:ascii="宋体" w:hAnsi="宋体" w:cs="宋体"/>
                <w:color w:val="000000"/>
                <w:kern w:val="0"/>
                <w:sz w:val="18"/>
                <w:szCs w:val="18"/>
              </w:rPr>
              <w:t>≥150件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r>
              <w:rPr>
                <w:color w:val="000000"/>
                <w:kern w:val="0"/>
                <w:sz w:val="18"/>
                <w:szCs w:val="18"/>
              </w:rPr>
              <w:t>20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r>
              <w:rPr>
                <w:color w:val="000000"/>
                <w:kern w:val="0"/>
                <w:sz w:val="18"/>
                <w:szCs w:val="18"/>
              </w:rPr>
              <w:t>20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r>
      <w:tr>
        <w:tblPrEx>
          <w:tblCellMar>
            <w:top w:w="0" w:type="dxa"/>
            <w:left w:w="108" w:type="dxa"/>
            <w:bottom w:w="0" w:type="dxa"/>
            <w:right w:w="108" w:type="dxa"/>
          </w:tblCellMar>
        </w:tblPrEx>
        <w:trPr>
          <w:trHeight w:val="420" w:hRule="atLeast"/>
        </w:trPr>
        <w:tc>
          <w:tcPr>
            <w:tcW w:w="43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bCs/>
                <w:color w:val="000000"/>
                <w:kern w:val="0"/>
                <w:sz w:val="18"/>
                <w:szCs w:val="18"/>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8"/>
                <w:szCs w:val="18"/>
              </w:rPr>
            </w:pPr>
          </w:p>
        </w:tc>
        <w:tc>
          <w:tcPr>
            <w:tcW w:w="48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6"/>
                <w:szCs w:val="16"/>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kern w:val="0"/>
                <w:sz w:val="18"/>
                <w:szCs w:val="18"/>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r>
      <w:tr>
        <w:tblPrEx>
          <w:tblCellMar>
            <w:top w:w="0" w:type="dxa"/>
            <w:left w:w="108" w:type="dxa"/>
            <w:bottom w:w="0" w:type="dxa"/>
            <w:right w:w="108" w:type="dxa"/>
          </w:tblCellMar>
        </w:tblPrEx>
        <w:trPr>
          <w:trHeight w:val="420" w:hRule="atLeast"/>
        </w:trPr>
        <w:tc>
          <w:tcPr>
            <w:tcW w:w="43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bCs/>
                <w:color w:val="000000"/>
                <w:kern w:val="0"/>
                <w:sz w:val="18"/>
                <w:szCs w:val="18"/>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8"/>
                <w:szCs w:val="18"/>
              </w:rPr>
            </w:pPr>
          </w:p>
        </w:tc>
        <w:tc>
          <w:tcPr>
            <w:tcW w:w="48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6"/>
                <w:szCs w:val="16"/>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kern w:val="0"/>
                <w:sz w:val="18"/>
                <w:szCs w:val="18"/>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r>
      <w:tr>
        <w:tblPrEx>
          <w:tblCellMar>
            <w:top w:w="0" w:type="dxa"/>
            <w:left w:w="108" w:type="dxa"/>
            <w:bottom w:w="0" w:type="dxa"/>
            <w:right w:w="108" w:type="dxa"/>
          </w:tblCellMar>
        </w:tblPrEx>
        <w:trPr>
          <w:trHeight w:val="420" w:hRule="atLeast"/>
        </w:trPr>
        <w:tc>
          <w:tcPr>
            <w:tcW w:w="43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bCs/>
                <w:color w:val="000000"/>
                <w:kern w:val="0"/>
                <w:sz w:val="18"/>
                <w:szCs w:val="18"/>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8"/>
                <w:szCs w:val="18"/>
              </w:rPr>
            </w:pPr>
          </w:p>
        </w:tc>
        <w:tc>
          <w:tcPr>
            <w:tcW w:w="48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6"/>
                <w:szCs w:val="16"/>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kern w:val="0"/>
                <w:sz w:val="18"/>
                <w:szCs w:val="18"/>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r>
      <w:tr>
        <w:tblPrEx>
          <w:tblCellMar>
            <w:top w:w="0" w:type="dxa"/>
            <w:left w:w="108" w:type="dxa"/>
            <w:bottom w:w="0" w:type="dxa"/>
            <w:right w:w="108" w:type="dxa"/>
          </w:tblCellMar>
        </w:tblPrEx>
        <w:trPr>
          <w:trHeight w:val="420" w:hRule="atLeast"/>
        </w:trPr>
        <w:tc>
          <w:tcPr>
            <w:tcW w:w="43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bCs/>
                <w:color w:val="000000"/>
                <w:kern w:val="0"/>
                <w:sz w:val="18"/>
                <w:szCs w:val="18"/>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8"/>
                <w:szCs w:val="18"/>
              </w:rPr>
            </w:pPr>
          </w:p>
        </w:tc>
        <w:tc>
          <w:tcPr>
            <w:tcW w:w="480"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kern w:val="0"/>
                <w:sz w:val="16"/>
                <w:szCs w:val="16"/>
              </w:rPr>
            </w:pPr>
            <w:r>
              <w:rPr>
                <w:rFonts w:hint="eastAsia" w:ascii="宋体" w:hAnsi="宋体" w:cs="宋体"/>
                <w:color w:val="000000"/>
                <w:kern w:val="0"/>
                <w:sz w:val="16"/>
                <w:szCs w:val="16"/>
              </w:rPr>
              <w:t>质量指标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kern w:val="0"/>
                <w:sz w:val="18"/>
                <w:szCs w:val="18"/>
              </w:rPr>
            </w:pPr>
            <w:r>
              <w:rPr>
                <w:rFonts w:hint="eastAsia" w:ascii="宋体" w:hAnsi="宋体" w:cs="宋体"/>
                <w:color w:val="000000"/>
                <w:kern w:val="0"/>
                <w:sz w:val="18"/>
                <w:szCs w:val="18"/>
              </w:rPr>
              <w:t>价格数据质量水平</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r>
              <w:rPr>
                <w:color w:val="000000"/>
                <w:kern w:val="0"/>
                <w:sz w:val="18"/>
                <w:szCs w:val="18"/>
              </w:rPr>
              <w:t>≥90%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kern w:val="0"/>
                <w:sz w:val="18"/>
                <w:szCs w:val="18"/>
              </w:rPr>
            </w:pPr>
            <w:r>
              <w:rPr>
                <w:color w:val="000000"/>
                <w:kern w:val="0"/>
                <w:sz w:val="18"/>
                <w:szCs w:val="18"/>
              </w:rPr>
              <w:t>100%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r>
              <w:rPr>
                <w:color w:val="000000"/>
                <w:kern w:val="0"/>
                <w:sz w:val="18"/>
                <w:szCs w:val="18"/>
              </w:rPr>
              <w:t>30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r>
              <w:rPr>
                <w:color w:val="000000"/>
                <w:kern w:val="0"/>
                <w:sz w:val="18"/>
                <w:szCs w:val="18"/>
              </w:rPr>
              <w:t>30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r>
      <w:tr>
        <w:tblPrEx>
          <w:tblCellMar>
            <w:top w:w="0" w:type="dxa"/>
            <w:left w:w="108" w:type="dxa"/>
            <w:bottom w:w="0" w:type="dxa"/>
            <w:right w:w="108" w:type="dxa"/>
          </w:tblCellMar>
        </w:tblPrEx>
        <w:trPr>
          <w:trHeight w:val="420" w:hRule="atLeast"/>
        </w:trPr>
        <w:tc>
          <w:tcPr>
            <w:tcW w:w="43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bCs/>
                <w:color w:val="000000"/>
                <w:kern w:val="0"/>
                <w:sz w:val="18"/>
                <w:szCs w:val="18"/>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8"/>
                <w:szCs w:val="18"/>
              </w:rPr>
            </w:pPr>
          </w:p>
        </w:tc>
        <w:tc>
          <w:tcPr>
            <w:tcW w:w="480" w:type="dxa"/>
            <w:vMerge w:val="continue"/>
            <w:tcBorders>
              <w:top w:val="single" w:color="000000" w:sz="4" w:space="0"/>
              <w:left w:val="single" w:color="000000" w:sz="4" w:space="0"/>
              <w:bottom w:val="nil"/>
              <w:right w:val="single" w:color="000000" w:sz="4" w:space="0"/>
            </w:tcBorders>
            <w:vAlign w:val="center"/>
          </w:tcPr>
          <w:p>
            <w:pPr>
              <w:jc w:val="left"/>
              <w:rPr>
                <w:rFonts w:ascii="宋体" w:hAnsi="宋体" w:cs="宋体"/>
                <w:color w:val="000000"/>
                <w:kern w:val="0"/>
                <w:sz w:val="16"/>
                <w:szCs w:val="16"/>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kern w:val="0"/>
                <w:sz w:val="18"/>
                <w:szCs w:val="18"/>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r>
      <w:tr>
        <w:tblPrEx>
          <w:tblCellMar>
            <w:top w:w="0" w:type="dxa"/>
            <w:left w:w="108" w:type="dxa"/>
            <w:bottom w:w="0" w:type="dxa"/>
            <w:right w:w="108" w:type="dxa"/>
          </w:tblCellMar>
        </w:tblPrEx>
        <w:trPr>
          <w:trHeight w:val="420" w:hRule="atLeast"/>
        </w:trPr>
        <w:tc>
          <w:tcPr>
            <w:tcW w:w="43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bCs/>
                <w:color w:val="000000"/>
                <w:kern w:val="0"/>
                <w:sz w:val="18"/>
                <w:szCs w:val="18"/>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8"/>
                <w:szCs w:val="18"/>
              </w:rPr>
            </w:pPr>
          </w:p>
        </w:tc>
        <w:tc>
          <w:tcPr>
            <w:tcW w:w="480" w:type="dxa"/>
            <w:vMerge w:val="continue"/>
            <w:tcBorders>
              <w:top w:val="single" w:color="000000" w:sz="4" w:space="0"/>
              <w:left w:val="single" w:color="000000" w:sz="4" w:space="0"/>
              <w:bottom w:val="nil"/>
              <w:right w:val="single" w:color="000000" w:sz="4" w:space="0"/>
            </w:tcBorders>
            <w:vAlign w:val="center"/>
          </w:tcPr>
          <w:p>
            <w:pPr>
              <w:jc w:val="left"/>
              <w:rPr>
                <w:rFonts w:ascii="宋体" w:hAnsi="宋体" w:cs="宋体"/>
                <w:color w:val="000000"/>
                <w:kern w:val="0"/>
                <w:sz w:val="16"/>
                <w:szCs w:val="16"/>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kern w:val="0"/>
                <w:sz w:val="18"/>
                <w:szCs w:val="18"/>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r>
      <w:tr>
        <w:tblPrEx>
          <w:tblCellMar>
            <w:top w:w="0" w:type="dxa"/>
            <w:left w:w="108" w:type="dxa"/>
            <w:bottom w:w="0" w:type="dxa"/>
            <w:right w:w="108" w:type="dxa"/>
          </w:tblCellMar>
        </w:tblPrEx>
        <w:trPr>
          <w:trHeight w:val="420" w:hRule="atLeast"/>
        </w:trPr>
        <w:tc>
          <w:tcPr>
            <w:tcW w:w="43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bCs/>
                <w:color w:val="000000"/>
                <w:kern w:val="0"/>
                <w:sz w:val="18"/>
                <w:szCs w:val="18"/>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8"/>
                <w:szCs w:val="18"/>
              </w:rPr>
            </w:pPr>
          </w:p>
        </w:tc>
        <w:tc>
          <w:tcPr>
            <w:tcW w:w="480"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kern w:val="0"/>
                <w:sz w:val="16"/>
                <w:szCs w:val="16"/>
              </w:rPr>
            </w:pPr>
            <w:r>
              <w:rPr>
                <w:rFonts w:hint="eastAsia" w:ascii="宋体" w:hAnsi="宋体" w:cs="宋体"/>
                <w:color w:val="000000"/>
                <w:kern w:val="0"/>
                <w:sz w:val="16"/>
                <w:szCs w:val="16"/>
              </w:rPr>
              <w:t>时效指标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kern w:val="0"/>
                <w:sz w:val="18"/>
                <w:szCs w:val="18"/>
              </w:rPr>
            </w:pPr>
            <w:r>
              <w:rPr>
                <w:rFonts w:hint="eastAsia" w:ascii="宋体" w:hAnsi="宋体" w:cs="宋体"/>
                <w:color w:val="000000"/>
                <w:kern w:val="0"/>
                <w:sz w:val="18"/>
                <w:szCs w:val="18"/>
              </w:rPr>
              <w:t>支付时间</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r>
              <w:rPr>
                <w:color w:val="000000"/>
                <w:kern w:val="0"/>
                <w:sz w:val="18"/>
                <w:szCs w:val="18"/>
              </w:rPr>
              <w:t xml:space="preserve"> =2021</w:t>
            </w:r>
            <w:r>
              <w:rPr>
                <w:rFonts w:ascii="宋体" w:hAnsi="宋体"/>
                <w:color w:val="000000"/>
                <w:kern w:val="0"/>
                <w:sz w:val="18"/>
              </w:rPr>
              <w:t>年</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r>
              <w:rPr>
                <w:color w:val="000000"/>
                <w:kern w:val="0"/>
                <w:sz w:val="18"/>
                <w:szCs w:val="18"/>
              </w:rPr>
              <w:t xml:space="preserve"> =2021</w:t>
            </w:r>
            <w:r>
              <w:rPr>
                <w:rFonts w:ascii="宋体" w:hAnsi="宋体"/>
                <w:color w:val="000000"/>
                <w:kern w:val="0"/>
                <w:sz w:val="18"/>
              </w:rPr>
              <w:t>年</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r>
              <w:rPr>
                <w:color w:val="000000"/>
                <w:kern w:val="0"/>
                <w:sz w:val="18"/>
                <w:szCs w:val="18"/>
              </w:rPr>
              <w:t>20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r>
              <w:rPr>
                <w:color w:val="000000"/>
                <w:kern w:val="0"/>
                <w:sz w:val="18"/>
                <w:szCs w:val="18"/>
              </w:rPr>
              <w:t>20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r>
      <w:tr>
        <w:tblPrEx>
          <w:tblCellMar>
            <w:top w:w="0" w:type="dxa"/>
            <w:left w:w="108" w:type="dxa"/>
            <w:bottom w:w="0" w:type="dxa"/>
            <w:right w:w="108" w:type="dxa"/>
          </w:tblCellMar>
        </w:tblPrEx>
        <w:trPr>
          <w:trHeight w:val="420" w:hRule="atLeast"/>
        </w:trPr>
        <w:tc>
          <w:tcPr>
            <w:tcW w:w="43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bCs/>
                <w:color w:val="000000"/>
                <w:kern w:val="0"/>
                <w:sz w:val="18"/>
                <w:szCs w:val="18"/>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8"/>
                <w:szCs w:val="18"/>
              </w:rPr>
            </w:pPr>
          </w:p>
        </w:tc>
        <w:tc>
          <w:tcPr>
            <w:tcW w:w="480" w:type="dxa"/>
            <w:vMerge w:val="continue"/>
            <w:tcBorders>
              <w:top w:val="single" w:color="000000" w:sz="4" w:space="0"/>
              <w:left w:val="single" w:color="000000" w:sz="4" w:space="0"/>
              <w:bottom w:val="nil"/>
              <w:right w:val="single" w:color="000000" w:sz="4" w:space="0"/>
            </w:tcBorders>
            <w:vAlign w:val="center"/>
          </w:tcPr>
          <w:p>
            <w:pPr>
              <w:jc w:val="left"/>
              <w:rPr>
                <w:rFonts w:ascii="宋体" w:hAnsi="宋体" w:cs="宋体"/>
                <w:color w:val="000000"/>
                <w:kern w:val="0"/>
                <w:sz w:val="16"/>
                <w:szCs w:val="16"/>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kern w:val="0"/>
                <w:sz w:val="18"/>
                <w:szCs w:val="18"/>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r>
      <w:tr>
        <w:tblPrEx>
          <w:tblCellMar>
            <w:top w:w="0" w:type="dxa"/>
            <w:left w:w="108" w:type="dxa"/>
            <w:bottom w:w="0" w:type="dxa"/>
            <w:right w:w="108" w:type="dxa"/>
          </w:tblCellMar>
        </w:tblPrEx>
        <w:trPr>
          <w:trHeight w:val="420" w:hRule="atLeast"/>
        </w:trPr>
        <w:tc>
          <w:tcPr>
            <w:tcW w:w="43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bCs/>
                <w:color w:val="000000"/>
                <w:kern w:val="0"/>
                <w:sz w:val="18"/>
                <w:szCs w:val="18"/>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8"/>
                <w:szCs w:val="18"/>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6"/>
                <w:szCs w:val="16"/>
              </w:rPr>
            </w:pPr>
            <w:r>
              <w:rPr>
                <w:rFonts w:hint="eastAsia" w:ascii="宋体" w:hAnsi="宋体" w:cs="宋体"/>
                <w:color w:val="000000"/>
                <w:kern w:val="0"/>
                <w:sz w:val="16"/>
                <w:szCs w:val="16"/>
              </w:rPr>
              <w:t>成本指标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kern w:val="0"/>
                <w:sz w:val="18"/>
                <w:szCs w:val="18"/>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r>
      <w:tr>
        <w:tblPrEx>
          <w:tblCellMar>
            <w:top w:w="0" w:type="dxa"/>
            <w:left w:w="108" w:type="dxa"/>
            <w:bottom w:w="0" w:type="dxa"/>
            <w:right w:w="108" w:type="dxa"/>
          </w:tblCellMar>
        </w:tblPrEx>
        <w:trPr>
          <w:trHeight w:val="420" w:hRule="atLeast"/>
        </w:trPr>
        <w:tc>
          <w:tcPr>
            <w:tcW w:w="43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bCs/>
                <w:color w:val="000000"/>
                <w:kern w:val="0"/>
                <w:sz w:val="18"/>
                <w:szCs w:val="18"/>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8"/>
                <w:szCs w:val="18"/>
              </w:rPr>
            </w:pPr>
          </w:p>
        </w:tc>
        <w:tc>
          <w:tcPr>
            <w:tcW w:w="48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6"/>
                <w:szCs w:val="16"/>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kern w:val="0"/>
                <w:sz w:val="18"/>
                <w:szCs w:val="18"/>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r>
      <w:tr>
        <w:tblPrEx>
          <w:tblCellMar>
            <w:top w:w="0" w:type="dxa"/>
            <w:left w:w="108" w:type="dxa"/>
            <w:bottom w:w="0" w:type="dxa"/>
            <w:right w:w="108" w:type="dxa"/>
          </w:tblCellMar>
        </w:tblPrEx>
        <w:trPr>
          <w:trHeight w:val="420" w:hRule="atLeast"/>
        </w:trPr>
        <w:tc>
          <w:tcPr>
            <w:tcW w:w="43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bCs/>
                <w:color w:val="000000"/>
                <w:kern w:val="0"/>
                <w:sz w:val="18"/>
                <w:szCs w:val="18"/>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8"/>
                <w:szCs w:val="18"/>
              </w:rPr>
            </w:pPr>
          </w:p>
        </w:tc>
        <w:tc>
          <w:tcPr>
            <w:tcW w:w="48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6"/>
                <w:szCs w:val="16"/>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kern w:val="0"/>
                <w:sz w:val="18"/>
                <w:szCs w:val="18"/>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r>
      <w:tr>
        <w:tblPrEx>
          <w:tblCellMar>
            <w:top w:w="0" w:type="dxa"/>
            <w:left w:w="108" w:type="dxa"/>
            <w:bottom w:w="0" w:type="dxa"/>
            <w:right w:w="108" w:type="dxa"/>
          </w:tblCellMar>
        </w:tblPrEx>
        <w:trPr>
          <w:trHeight w:val="420" w:hRule="atLeast"/>
        </w:trPr>
        <w:tc>
          <w:tcPr>
            <w:tcW w:w="43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bCs/>
                <w:color w:val="000000"/>
                <w:kern w:val="0"/>
                <w:sz w:val="18"/>
                <w:szCs w:val="18"/>
              </w:rPr>
            </w:pP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效益指标(45分)</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6"/>
                <w:szCs w:val="16"/>
              </w:rPr>
            </w:pPr>
            <w:r>
              <w:rPr>
                <w:rFonts w:hint="eastAsia" w:ascii="宋体" w:hAnsi="宋体" w:cs="宋体"/>
                <w:color w:val="000000"/>
                <w:kern w:val="0"/>
                <w:sz w:val="16"/>
                <w:szCs w:val="16"/>
              </w:rPr>
              <w:t>经济效益指标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kern w:val="0"/>
                <w:sz w:val="18"/>
                <w:szCs w:val="18"/>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r>
      <w:tr>
        <w:tblPrEx>
          <w:tblCellMar>
            <w:top w:w="0" w:type="dxa"/>
            <w:left w:w="108" w:type="dxa"/>
            <w:bottom w:w="0" w:type="dxa"/>
            <w:right w:w="108" w:type="dxa"/>
          </w:tblCellMar>
        </w:tblPrEx>
        <w:trPr>
          <w:trHeight w:val="420" w:hRule="atLeast"/>
        </w:trPr>
        <w:tc>
          <w:tcPr>
            <w:tcW w:w="43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bCs/>
                <w:color w:val="000000"/>
                <w:kern w:val="0"/>
                <w:sz w:val="18"/>
                <w:szCs w:val="18"/>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8"/>
                <w:szCs w:val="18"/>
              </w:rPr>
            </w:pPr>
          </w:p>
        </w:tc>
        <w:tc>
          <w:tcPr>
            <w:tcW w:w="48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6"/>
                <w:szCs w:val="16"/>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kern w:val="0"/>
                <w:sz w:val="18"/>
                <w:szCs w:val="18"/>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r>
      <w:tr>
        <w:tblPrEx>
          <w:tblCellMar>
            <w:top w:w="0" w:type="dxa"/>
            <w:left w:w="108" w:type="dxa"/>
            <w:bottom w:w="0" w:type="dxa"/>
            <w:right w:w="108" w:type="dxa"/>
          </w:tblCellMar>
        </w:tblPrEx>
        <w:trPr>
          <w:trHeight w:val="540" w:hRule="atLeast"/>
        </w:trPr>
        <w:tc>
          <w:tcPr>
            <w:tcW w:w="43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bCs/>
                <w:color w:val="000000"/>
                <w:kern w:val="0"/>
                <w:sz w:val="18"/>
                <w:szCs w:val="18"/>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8"/>
                <w:szCs w:val="18"/>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6"/>
                <w:szCs w:val="16"/>
              </w:rPr>
            </w:pPr>
            <w:r>
              <w:rPr>
                <w:rFonts w:hint="eastAsia" w:ascii="宋体" w:hAnsi="宋体" w:cs="宋体"/>
                <w:color w:val="000000"/>
                <w:kern w:val="0"/>
                <w:sz w:val="16"/>
                <w:szCs w:val="16"/>
              </w:rPr>
              <w:t>社会效益指标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kern w:val="0"/>
                <w:sz w:val="18"/>
                <w:szCs w:val="18"/>
              </w:rPr>
            </w:pPr>
            <w:r>
              <w:rPr>
                <w:rFonts w:hint="eastAsia" w:ascii="宋体" w:hAnsi="宋体" w:cs="宋体"/>
                <w:color w:val="000000"/>
                <w:kern w:val="0"/>
                <w:sz w:val="18"/>
                <w:szCs w:val="18"/>
              </w:rPr>
              <w:t>协助提出机关办理意见</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合理协助提供办理意见</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kern w:val="0"/>
                <w:sz w:val="18"/>
                <w:szCs w:val="18"/>
              </w:rPr>
            </w:pPr>
            <w:r>
              <w:rPr>
                <w:rFonts w:hint="eastAsia" w:ascii="宋体" w:hAnsi="宋体" w:cs="宋体"/>
                <w:color w:val="000000"/>
                <w:kern w:val="0"/>
                <w:sz w:val="18"/>
                <w:szCs w:val="18"/>
              </w:rPr>
              <w:t>优</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r>
              <w:rPr>
                <w:color w:val="000000"/>
                <w:kern w:val="0"/>
                <w:sz w:val="18"/>
                <w:szCs w:val="18"/>
              </w:rPr>
              <w:t>10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r>
              <w:rPr>
                <w:color w:val="000000"/>
                <w:kern w:val="0"/>
                <w:sz w:val="18"/>
                <w:szCs w:val="18"/>
              </w:rPr>
              <w:t>10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r>
      <w:tr>
        <w:tblPrEx>
          <w:tblCellMar>
            <w:top w:w="0" w:type="dxa"/>
            <w:left w:w="108" w:type="dxa"/>
            <w:bottom w:w="0" w:type="dxa"/>
            <w:right w:w="108" w:type="dxa"/>
          </w:tblCellMar>
        </w:tblPrEx>
        <w:trPr>
          <w:trHeight w:val="420" w:hRule="atLeast"/>
        </w:trPr>
        <w:tc>
          <w:tcPr>
            <w:tcW w:w="43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bCs/>
                <w:color w:val="000000"/>
                <w:kern w:val="0"/>
                <w:sz w:val="18"/>
                <w:szCs w:val="18"/>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8"/>
                <w:szCs w:val="18"/>
              </w:rPr>
            </w:pPr>
          </w:p>
        </w:tc>
        <w:tc>
          <w:tcPr>
            <w:tcW w:w="48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6"/>
                <w:szCs w:val="16"/>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kern w:val="0"/>
                <w:sz w:val="18"/>
                <w:szCs w:val="18"/>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r>
      <w:tr>
        <w:tblPrEx>
          <w:tblCellMar>
            <w:top w:w="0" w:type="dxa"/>
            <w:left w:w="108" w:type="dxa"/>
            <w:bottom w:w="0" w:type="dxa"/>
            <w:right w:w="108" w:type="dxa"/>
          </w:tblCellMar>
        </w:tblPrEx>
        <w:trPr>
          <w:trHeight w:val="420" w:hRule="atLeast"/>
        </w:trPr>
        <w:tc>
          <w:tcPr>
            <w:tcW w:w="43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bCs/>
                <w:color w:val="000000"/>
                <w:kern w:val="0"/>
                <w:sz w:val="18"/>
                <w:szCs w:val="18"/>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8"/>
                <w:szCs w:val="18"/>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6"/>
                <w:szCs w:val="16"/>
              </w:rPr>
            </w:pPr>
            <w:r>
              <w:rPr>
                <w:rFonts w:hint="eastAsia" w:ascii="宋体" w:hAnsi="宋体" w:cs="宋体"/>
                <w:color w:val="000000"/>
                <w:kern w:val="0"/>
                <w:sz w:val="16"/>
                <w:szCs w:val="16"/>
              </w:rPr>
              <w:t>生态效益指标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kern w:val="0"/>
                <w:sz w:val="18"/>
                <w:szCs w:val="18"/>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r>
      <w:tr>
        <w:tblPrEx>
          <w:tblCellMar>
            <w:top w:w="0" w:type="dxa"/>
            <w:left w:w="108" w:type="dxa"/>
            <w:bottom w:w="0" w:type="dxa"/>
            <w:right w:w="108" w:type="dxa"/>
          </w:tblCellMar>
        </w:tblPrEx>
        <w:trPr>
          <w:trHeight w:val="420" w:hRule="atLeast"/>
        </w:trPr>
        <w:tc>
          <w:tcPr>
            <w:tcW w:w="43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bCs/>
                <w:color w:val="000000"/>
                <w:kern w:val="0"/>
                <w:sz w:val="18"/>
                <w:szCs w:val="18"/>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8"/>
                <w:szCs w:val="18"/>
              </w:rPr>
            </w:pPr>
          </w:p>
        </w:tc>
        <w:tc>
          <w:tcPr>
            <w:tcW w:w="48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6"/>
                <w:szCs w:val="16"/>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kern w:val="0"/>
                <w:sz w:val="18"/>
                <w:szCs w:val="18"/>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r>
      <w:tr>
        <w:tblPrEx>
          <w:tblCellMar>
            <w:top w:w="0" w:type="dxa"/>
            <w:left w:w="108" w:type="dxa"/>
            <w:bottom w:w="0" w:type="dxa"/>
            <w:right w:w="108" w:type="dxa"/>
          </w:tblCellMar>
        </w:tblPrEx>
        <w:trPr>
          <w:trHeight w:val="675" w:hRule="atLeast"/>
        </w:trPr>
        <w:tc>
          <w:tcPr>
            <w:tcW w:w="43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bCs/>
                <w:color w:val="000000"/>
                <w:kern w:val="0"/>
                <w:sz w:val="18"/>
                <w:szCs w:val="18"/>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8"/>
                <w:szCs w:val="18"/>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4"/>
                <w:szCs w:val="14"/>
              </w:rPr>
            </w:pPr>
            <w:r>
              <w:rPr>
                <w:rFonts w:hint="eastAsia" w:ascii="宋体" w:hAnsi="宋体" w:cs="宋体"/>
                <w:color w:val="000000"/>
                <w:kern w:val="0"/>
                <w:sz w:val="14"/>
                <w:szCs w:val="14"/>
              </w:rPr>
              <w:t>可持续影响指标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kern w:val="0"/>
                <w:sz w:val="18"/>
                <w:szCs w:val="18"/>
              </w:rPr>
            </w:pPr>
            <w:r>
              <w:rPr>
                <w:rFonts w:hint="eastAsia" w:ascii="宋体" w:hAnsi="宋体" w:cs="宋体"/>
                <w:color w:val="000000"/>
                <w:kern w:val="0"/>
                <w:sz w:val="18"/>
                <w:szCs w:val="18"/>
              </w:rPr>
              <w:t>为提出机关提供价格依据</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为提出机关提供科学的价格依据</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kern w:val="0"/>
                <w:sz w:val="18"/>
                <w:szCs w:val="18"/>
              </w:rPr>
            </w:pPr>
            <w:r>
              <w:rPr>
                <w:rFonts w:hint="eastAsia" w:ascii="宋体" w:hAnsi="宋体" w:cs="宋体"/>
                <w:color w:val="000000"/>
                <w:kern w:val="0"/>
                <w:sz w:val="18"/>
                <w:szCs w:val="18"/>
              </w:rPr>
              <w:t>优</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r>
              <w:rPr>
                <w:color w:val="000000"/>
                <w:kern w:val="0"/>
                <w:sz w:val="18"/>
                <w:szCs w:val="18"/>
              </w:rPr>
              <w:t>10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r>
              <w:rPr>
                <w:color w:val="000000"/>
                <w:kern w:val="0"/>
                <w:sz w:val="18"/>
                <w:szCs w:val="18"/>
              </w:rPr>
              <w:t>10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r>
      <w:tr>
        <w:tblPrEx>
          <w:tblCellMar>
            <w:top w:w="0" w:type="dxa"/>
            <w:left w:w="108" w:type="dxa"/>
            <w:bottom w:w="0" w:type="dxa"/>
            <w:right w:w="108" w:type="dxa"/>
          </w:tblCellMar>
        </w:tblPrEx>
        <w:trPr>
          <w:trHeight w:val="420" w:hRule="atLeast"/>
        </w:trPr>
        <w:tc>
          <w:tcPr>
            <w:tcW w:w="43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bCs/>
                <w:color w:val="000000"/>
                <w:kern w:val="0"/>
                <w:sz w:val="18"/>
                <w:szCs w:val="18"/>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8"/>
                <w:szCs w:val="18"/>
              </w:rPr>
            </w:pPr>
          </w:p>
        </w:tc>
        <w:tc>
          <w:tcPr>
            <w:tcW w:w="48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4"/>
                <w:szCs w:val="14"/>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kern w:val="0"/>
                <w:sz w:val="18"/>
                <w:szCs w:val="18"/>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r>
      <w:tr>
        <w:tblPrEx>
          <w:tblCellMar>
            <w:top w:w="0" w:type="dxa"/>
            <w:left w:w="108" w:type="dxa"/>
            <w:bottom w:w="0" w:type="dxa"/>
            <w:right w:w="108" w:type="dxa"/>
          </w:tblCellMar>
        </w:tblPrEx>
        <w:trPr>
          <w:trHeight w:val="420" w:hRule="atLeast"/>
        </w:trPr>
        <w:tc>
          <w:tcPr>
            <w:tcW w:w="43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bCs/>
                <w:color w:val="000000"/>
                <w:kern w:val="0"/>
                <w:sz w:val="18"/>
                <w:szCs w:val="18"/>
              </w:rPr>
            </w:pPr>
          </w:p>
        </w:tc>
        <w:tc>
          <w:tcPr>
            <w:tcW w:w="375" w:type="dxa"/>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2"/>
                <w:szCs w:val="12"/>
              </w:rPr>
            </w:pPr>
            <w:r>
              <w:rPr>
                <w:rFonts w:hint="eastAsia" w:ascii="宋体" w:hAnsi="宋体" w:cs="宋体"/>
                <w:color w:val="000000"/>
                <w:kern w:val="0"/>
                <w:sz w:val="12"/>
                <w:szCs w:val="12"/>
              </w:rPr>
              <w:t>满意度指标(5分)</w:t>
            </w:r>
          </w:p>
        </w:tc>
        <w:tc>
          <w:tcPr>
            <w:tcW w:w="480" w:type="dxa"/>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2"/>
                <w:szCs w:val="12"/>
              </w:rPr>
            </w:pPr>
            <w:r>
              <w:rPr>
                <w:rFonts w:hint="eastAsia" w:ascii="宋体" w:hAnsi="宋体" w:cs="宋体"/>
                <w:color w:val="000000"/>
                <w:kern w:val="0"/>
                <w:sz w:val="12"/>
                <w:szCs w:val="12"/>
              </w:rPr>
              <w:t>服务对象等方面满意度指标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kern w:val="0"/>
                <w:sz w:val="18"/>
                <w:szCs w:val="18"/>
              </w:rPr>
            </w:pPr>
            <w:r>
              <w:rPr>
                <w:rFonts w:hint="eastAsia" w:ascii="宋体" w:hAnsi="宋体" w:cs="宋体"/>
                <w:color w:val="000000"/>
                <w:kern w:val="0"/>
                <w:sz w:val="18"/>
                <w:szCs w:val="18"/>
              </w:rPr>
              <w:t>提出机关经办人员满意度</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r>
              <w:rPr>
                <w:color w:val="000000"/>
                <w:kern w:val="0"/>
                <w:sz w:val="18"/>
                <w:szCs w:val="18"/>
              </w:rPr>
              <w:t>≥90%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kern w:val="0"/>
                <w:sz w:val="18"/>
                <w:szCs w:val="18"/>
              </w:rPr>
            </w:pPr>
            <w:r>
              <w:rPr>
                <w:color w:val="000000"/>
                <w:kern w:val="0"/>
                <w:sz w:val="18"/>
                <w:szCs w:val="18"/>
              </w:rPr>
              <w:t>95%</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r>
              <w:rPr>
                <w:color w:val="000000"/>
                <w:kern w:val="0"/>
                <w:sz w:val="18"/>
                <w:szCs w:val="18"/>
              </w:rPr>
              <w:t>10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r>
              <w:rPr>
                <w:color w:val="000000"/>
                <w:kern w:val="0"/>
                <w:sz w:val="18"/>
                <w:szCs w:val="18"/>
              </w:rPr>
              <w:t>10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r>
      <w:tr>
        <w:tblPrEx>
          <w:tblCellMar>
            <w:top w:w="0" w:type="dxa"/>
            <w:left w:w="108" w:type="dxa"/>
            <w:bottom w:w="0" w:type="dxa"/>
            <w:right w:w="108" w:type="dxa"/>
          </w:tblCellMar>
        </w:tblPrEx>
        <w:trPr>
          <w:trHeight w:val="420" w:hRule="atLeast"/>
        </w:trPr>
        <w:tc>
          <w:tcPr>
            <w:tcW w:w="43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bCs/>
                <w:color w:val="000000"/>
                <w:kern w:val="0"/>
                <w:sz w:val="18"/>
                <w:szCs w:val="18"/>
              </w:rPr>
            </w:pPr>
          </w:p>
        </w:tc>
        <w:tc>
          <w:tcPr>
            <w:tcW w:w="375" w:type="dxa"/>
            <w:vMerge w:val="continue"/>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kern w:val="0"/>
                <w:sz w:val="12"/>
                <w:szCs w:val="12"/>
              </w:rPr>
            </w:pPr>
          </w:p>
        </w:tc>
        <w:tc>
          <w:tcPr>
            <w:tcW w:w="480" w:type="dxa"/>
            <w:vMerge w:val="continue"/>
            <w:tcBorders>
              <w:top w:val="nil"/>
              <w:left w:val="single" w:color="000000" w:sz="4" w:space="0"/>
              <w:bottom w:val="single" w:color="000000" w:sz="4" w:space="0"/>
              <w:right w:val="single" w:color="000000" w:sz="4" w:space="0"/>
            </w:tcBorders>
            <w:vAlign w:val="center"/>
          </w:tcPr>
          <w:p>
            <w:pPr>
              <w:jc w:val="left"/>
              <w:rPr>
                <w:rFonts w:ascii="宋体" w:hAnsi="宋体" w:cs="宋体"/>
                <w:color w:val="000000"/>
                <w:kern w:val="0"/>
                <w:sz w:val="12"/>
                <w:szCs w:val="1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kern w:val="0"/>
                <w:sz w:val="18"/>
                <w:szCs w:val="18"/>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340" w:hRule="atLeast"/>
        </w:trPr>
        <w:tc>
          <w:tcPr>
            <w:tcW w:w="52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kern w:val="0"/>
              </w:rPr>
            </w:pPr>
            <w:r>
              <w:rPr>
                <w:rFonts w:hint="eastAsia" w:ascii="宋体" w:hAnsi="宋体" w:cs="宋体"/>
                <w:b/>
                <w:bCs/>
                <w:color w:val="000000"/>
                <w:kern w:val="0"/>
              </w:rPr>
              <w:t>总  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r>
              <w:rPr>
                <w:color w:val="000000"/>
                <w:kern w:val="0"/>
                <w:sz w:val="18"/>
                <w:szCs w:val="18"/>
              </w:rPr>
              <w:t>100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kern w:val="0"/>
                <w:sz w:val="18"/>
                <w:szCs w:val="18"/>
              </w:rPr>
            </w:pPr>
            <w:r>
              <w:rPr>
                <w:color w:val="000000"/>
                <w:kern w:val="0"/>
                <w:sz w:val="18"/>
                <w:szCs w:val="18"/>
              </w:rPr>
              <w:t>100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color w:val="000000"/>
                <w:kern w:val="0"/>
                <w:sz w:val="18"/>
                <w:szCs w:val="18"/>
              </w:rPr>
            </w:pPr>
          </w:p>
        </w:tc>
      </w:tr>
    </w:tbl>
    <w:p>
      <w:pPr>
        <w:spacing w:line="324" w:lineRule="auto"/>
        <w:ind w:firstLine="594"/>
        <w:rPr>
          <w:rFonts w:hint="eastAsia" w:ascii="仿宋" w:hAnsi="仿宋" w:eastAsia="仿宋"/>
          <w:b/>
          <w:color w:val="000000"/>
          <w:sz w:val="28"/>
          <w:szCs w:val="28"/>
          <w:highlight w:val="white"/>
        </w:rPr>
      </w:pPr>
      <w:r>
        <w:rPr>
          <w:rFonts w:hint="eastAsia" w:ascii="仿宋" w:hAnsi="仿宋" w:eastAsia="仿宋"/>
          <w:b/>
          <w:color w:val="000000"/>
          <w:sz w:val="28"/>
          <w:szCs w:val="28"/>
          <w:highlight w:val="white"/>
        </w:rPr>
        <w:t>3.财政评价项目绩效评价结果</w:t>
      </w:r>
    </w:p>
    <w:p>
      <w:pPr>
        <w:spacing w:line="324" w:lineRule="auto"/>
        <w:ind w:firstLine="594"/>
        <w:rPr>
          <w:rFonts w:hint="eastAsia" w:ascii="仿宋" w:hAnsi="仿宋" w:eastAsia="仿宋"/>
          <w:b/>
          <w:color w:val="000000"/>
          <w:sz w:val="28"/>
          <w:szCs w:val="28"/>
          <w:highlight w:val="white"/>
        </w:rPr>
      </w:pPr>
      <w:r>
        <w:rPr>
          <w:rFonts w:hint="eastAsia" w:ascii="仿宋" w:hAnsi="仿宋" w:eastAsia="仿宋"/>
          <w:b/>
          <w:color w:val="000000"/>
          <w:sz w:val="28"/>
          <w:szCs w:val="28"/>
          <w:highlight w:val="white"/>
        </w:rPr>
        <w:t>无。</w:t>
      </w:r>
    </w:p>
    <w:p>
      <w:pPr>
        <w:spacing w:line="324" w:lineRule="auto"/>
        <w:ind w:firstLine="594"/>
        <w:rPr>
          <w:rFonts w:hint="eastAsia" w:ascii="仿宋" w:hAnsi="仿宋" w:eastAsia="仿宋"/>
          <w:b/>
          <w:color w:val="000000"/>
          <w:sz w:val="28"/>
          <w:szCs w:val="28"/>
          <w:highlight w:val="white"/>
        </w:rPr>
      </w:pPr>
      <w:r>
        <w:rPr>
          <w:rFonts w:hint="eastAsia" w:ascii="仿宋" w:hAnsi="仿宋" w:eastAsia="仿宋"/>
          <w:b/>
          <w:color w:val="000000"/>
          <w:sz w:val="28"/>
          <w:szCs w:val="28"/>
          <w:highlight w:val="white"/>
        </w:rPr>
        <w:t>4.部门评价项目绩效评价结果</w:t>
      </w:r>
    </w:p>
    <w:p>
      <w:pPr>
        <w:spacing w:line="324" w:lineRule="auto"/>
        <w:ind w:firstLine="594"/>
        <w:rPr>
          <w:rFonts w:hint="eastAsia" w:ascii="仿宋" w:hAnsi="仿宋" w:eastAsia="仿宋"/>
          <w:b/>
          <w:color w:val="000000"/>
          <w:sz w:val="28"/>
          <w:szCs w:val="28"/>
          <w:highlight w:val="white"/>
        </w:rPr>
      </w:pPr>
      <w:r>
        <w:rPr>
          <w:rFonts w:hint="eastAsia" w:ascii="仿宋" w:hAnsi="仿宋" w:eastAsia="仿宋"/>
          <w:b/>
          <w:color w:val="000000"/>
          <w:sz w:val="28"/>
          <w:szCs w:val="28"/>
          <w:highlight w:val="white"/>
        </w:rPr>
        <w:t>无。</w:t>
      </w:r>
    </w:p>
    <w:p>
      <w:pPr>
        <w:spacing w:line="324" w:lineRule="auto"/>
        <w:ind w:firstLine="600"/>
        <w:rPr>
          <w:b/>
          <w:color w:val="000000"/>
          <w:sz w:val="28"/>
          <w:szCs w:val="28"/>
          <w:highlight w:val="white"/>
        </w:rPr>
      </w:pPr>
      <w:r>
        <w:rPr>
          <w:rFonts w:hint="eastAsia" w:ascii="黑体" w:hAnsi="黑体" w:eastAsia="黑体"/>
          <w:b/>
          <w:color w:val="000000"/>
          <w:sz w:val="28"/>
          <w:szCs w:val="28"/>
          <w:highlight w:val="white"/>
        </w:rPr>
        <w:t>四、名词解释</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1.财政拨款收入：指本级财政部门当年拨付的财政预算资金，包括一般公共预算财政拨款、政府性基金预算财政拨款和国有资本经预算财政拨款。</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2.事业收入：指事业单位开展专业业务活动及辅助活动所取得的收入。</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3.经营收入：指事业单位在专业业务活动及辅助活动之外开展非独立核算经营活动取得的收入。</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4.上级补助收入：指事业单位从主管部门和上级单位取得的非财政补助收入。</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5.附属单位上缴收入：指事业单位附属独立核算单位按照有关规定上缴的收入。</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6.其他收入：指预算单位在“财政拨款”、“事业收入”、“经营收入”、“上级补助收入”、“附属单位上缴收入”等之外取得的各项收入。</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7.使用非财政拨款结余：指事业单位使用以前年度积累的非财政拨款结余弥补当年收支差额的金额。</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8.年初结转和结余：指预算单位以前年度尚未完成、结转到本年仍按原规定用途继续使用的资金。</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9.年末结转和结余：指单位按有关规定结转到下年或以后年度继续使用的资金。</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10.基本支出：指预算单位为保障其正常运转，完成日常工作任务所发生的支出，包括人员经费支出和日常公用经费支出。</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11.项目支出：指预算单位为完成其特定的行政工作任务或事业发展目标所发生的支出。</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12.上缴上级支出：填列事业单位按照财政部门和主管部门的规定上缴上级单位的支出。</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13.经营支出：指事业单位在专业业务活动及其辅助活动之外开展非独立核算经营活动发生的支出。</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14.附属单位补助支出：填列事业单位用财政补助收入之外的收入对附属单位补助发生的支出。</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15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324" w:lineRule="auto"/>
        <w:ind w:firstLine="594"/>
        <w:rPr>
          <w:rFonts w:hint="eastAsia" w:ascii="仿宋" w:hAnsi="仿宋" w:eastAsia="仿宋"/>
          <w:color w:val="000000"/>
          <w:sz w:val="28"/>
          <w:szCs w:val="28"/>
        </w:rPr>
      </w:pPr>
      <w:r>
        <w:rPr>
          <w:rFonts w:hint="eastAsia" w:ascii="仿宋" w:hAnsi="仿宋" w:eastAsia="仿宋"/>
          <w:color w:val="000000"/>
          <w:sz w:val="28"/>
          <w:szCs w:val="28"/>
          <w:highlight w:val="white"/>
          <w:lang w:val="en-US" w:eastAsia="zh-CN"/>
        </w:rPr>
        <w:t>17.</w:t>
      </w:r>
      <w:r>
        <w:rPr>
          <w:rFonts w:hint="eastAsia" w:ascii="仿宋" w:hAnsi="仿宋" w:eastAsia="仿宋"/>
          <w:color w:val="000000"/>
          <w:sz w:val="28"/>
          <w:szCs w:val="28"/>
          <w:highlight w:val="white"/>
          <w:lang w:eastAsia="zh-CN"/>
        </w:rPr>
        <w:t>一般公共服务支出</w:t>
      </w:r>
      <w:r>
        <w:rPr>
          <w:rFonts w:hint="eastAsia" w:ascii="仿宋" w:hAnsi="仿宋" w:eastAsia="仿宋"/>
          <w:color w:val="000000"/>
          <w:sz w:val="28"/>
          <w:szCs w:val="28"/>
          <w:highlight w:val="white"/>
        </w:rPr>
        <w:t>（类）</w:t>
      </w:r>
      <w:r>
        <w:rPr>
          <w:rFonts w:hint="eastAsia" w:ascii="仿宋" w:hAnsi="仿宋" w:eastAsia="仿宋"/>
          <w:color w:val="000000"/>
          <w:sz w:val="28"/>
          <w:szCs w:val="28"/>
          <w:highlight w:val="white"/>
          <w:lang w:eastAsia="zh-CN"/>
        </w:rPr>
        <w:t>发展和改革事务</w:t>
      </w:r>
      <w:r>
        <w:rPr>
          <w:rFonts w:hint="eastAsia" w:ascii="仿宋" w:hAnsi="仿宋" w:eastAsia="仿宋"/>
          <w:color w:val="000000"/>
          <w:sz w:val="28"/>
          <w:szCs w:val="28"/>
          <w:highlight w:val="white"/>
        </w:rPr>
        <w:t>（款）</w:t>
      </w:r>
      <w:r>
        <w:rPr>
          <w:rFonts w:hint="eastAsia" w:ascii="仿宋" w:hAnsi="仿宋" w:eastAsia="仿宋"/>
          <w:color w:val="000000"/>
          <w:sz w:val="28"/>
          <w:szCs w:val="28"/>
        </w:rPr>
        <w:t>物价管理</w:t>
      </w:r>
      <w:r>
        <w:rPr>
          <w:rFonts w:hint="eastAsia" w:ascii="仿宋" w:hAnsi="仿宋" w:eastAsia="仿宋"/>
          <w:color w:val="000000"/>
          <w:sz w:val="28"/>
          <w:szCs w:val="28"/>
          <w:highlight w:val="white"/>
        </w:rPr>
        <w:t>（项）</w:t>
      </w:r>
      <w:r>
        <w:rPr>
          <w:rFonts w:hint="eastAsia" w:ascii="仿宋" w:hAnsi="仿宋" w:eastAsia="仿宋"/>
          <w:color w:val="000000"/>
          <w:sz w:val="28"/>
          <w:szCs w:val="28"/>
          <w:highlight w:val="white"/>
          <w:lang w:eastAsia="zh-CN"/>
        </w:rPr>
        <w:t>：指反映发展与改革事务方面的支出，物价管理方面的支出</w:t>
      </w:r>
      <w:r>
        <w:rPr>
          <w:rFonts w:hint="eastAsia" w:ascii="仿宋" w:hAnsi="仿宋" w:eastAsia="仿宋"/>
          <w:color w:val="000000"/>
          <w:sz w:val="28"/>
          <w:szCs w:val="28"/>
        </w:rPr>
        <w:t>。</w:t>
      </w:r>
    </w:p>
    <w:p>
      <w:pPr>
        <w:spacing w:line="324" w:lineRule="auto"/>
        <w:ind w:firstLine="594"/>
        <w:rPr>
          <w:rFonts w:hint="eastAsia" w:ascii="仿宋" w:hAnsi="仿宋" w:eastAsia="仿宋"/>
          <w:color w:val="000000"/>
          <w:sz w:val="28"/>
          <w:szCs w:val="28"/>
          <w:highlight w:val="white"/>
          <w:lang w:eastAsia="zh-CN"/>
        </w:rPr>
      </w:pPr>
      <w:r>
        <w:rPr>
          <w:rFonts w:hint="eastAsia" w:ascii="仿宋" w:hAnsi="仿宋" w:eastAsia="仿宋"/>
          <w:color w:val="000000"/>
          <w:sz w:val="28"/>
          <w:szCs w:val="28"/>
          <w:lang w:val="en-US" w:eastAsia="zh-CN"/>
        </w:rPr>
        <w:t>18.</w:t>
      </w:r>
      <w:r>
        <w:rPr>
          <w:rFonts w:hint="eastAsia" w:ascii="仿宋" w:hAnsi="仿宋" w:eastAsia="仿宋"/>
          <w:color w:val="000000"/>
          <w:sz w:val="28"/>
          <w:szCs w:val="28"/>
          <w:highlight w:val="white"/>
          <w:lang w:eastAsia="zh-CN"/>
        </w:rPr>
        <w:t>一般公共服务支出</w:t>
      </w:r>
      <w:r>
        <w:rPr>
          <w:rFonts w:hint="eastAsia" w:ascii="仿宋" w:hAnsi="仿宋" w:eastAsia="仿宋"/>
          <w:color w:val="000000"/>
          <w:sz w:val="28"/>
          <w:szCs w:val="28"/>
          <w:highlight w:val="white"/>
        </w:rPr>
        <w:t>（类）</w:t>
      </w:r>
      <w:r>
        <w:rPr>
          <w:rFonts w:hint="eastAsia" w:ascii="仿宋" w:hAnsi="仿宋" w:eastAsia="仿宋"/>
          <w:color w:val="000000"/>
          <w:sz w:val="28"/>
          <w:szCs w:val="28"/>
          <w:highlight w:val="white"/>
          <w:lang w:eastAsia="zh-CN"/>
        </w:rPr>
        <w:t>发展和改革事务</w:t>
      </w:r>
      <w:r>
        <w:rPr>
          <w:rFonts w:hint="eastAsia" w:ascii="仿宋" w:hAnsi="仿宋" w:eastAsia="仿宋"/>
          <w:color w:val="000000"/>
          <w:sz w:val="28"/>
          <w:szCs w:val="28"/>
          <w:highlight w:val="white"/>
        </w:rPr>
        <w:t>（款）</w:t>
      </w:r>
      <w:r>
        <w:rPr>
          <w:rFonts w:hint="eastAsia" w:ascii="仿宋" w:hAnsi="仿宋" w:eastAsia="仿宋"/>
          <w:color w:val="000000"/>
          <w:sz w:val="28"/>
          <w:szCs w:val="28"/>
          <w:highlight w:val="white"/>
          <w:lang w:eastAsia="zh-CN"/>
        </w:rPr>
        <w:t>事业运行</w:t>
      </w:r>
      <w:r>
        <w:rPr>
          <w:rFonts w:hint="eastAsia" w:ascii="仿宋" w:hAnsi="仿宋" w:eastAsia="仿宋"/>
          <w:color w:val="000000"/>
          <w:sz w:val="28"/>
          <w:szCs w:val="28"/>
          <w:highlight w:val="white"/>
        </w:rPr>
        <w:t>（项）</w:t>
      </w:r>
      <w:r>
        <w:rPr>
          <w:rFonts w:hint="eastAsia" w:ascii="仿宋" w:hAnsi="仿宋" w:eastAsia="仿宋"/>
          <w:color w:val="000000"/>
          <w:sz w:val="28"/>
          <w:szCs w:val="28"/>
          <w:highlight w:val="white"/>
          <w:lang w:eastAsia="zh-CN"/>
        </w:rPr>
        <w:t>：指反映发展与改革事务方面的支出，事业单位的基本支出。</w:t>
      </w:r>
    </w:p>
    <w:p>
      <w:pPr>
        <w:spacing w:line="324" w:lineRule="auto"/>
        <w:ind w:firstLine="594"/>
        <w:rPr>
          <w:rFonts w:hint="default" w:ascii="仿宋" w:hAnsi="仿宋" w:eastAsia="仿宋"/>
          <w:color w:val="000000"/>
          <w:sz w:val="28"/>
          <w:szCs w:val="28"/>
          <w:highlight w:val="white"/>
          <w:lang w:val="en-US" w:eastAsia="zh-CN"/>
        </w:rPr>
      </w:pPr>
      <w:r>
        <w:rPr>
          <w:rFonts w:hint="eastAsia" w:ascii="仿宋" w:hAnsi="仿宋" w:eastAsia="仿宋"/>
          <w:color w:val="000000"/>
          <w:sz w:val="28"/>
          <w:szCs w:val="28"/>
          <w:highlight w:val="white"/>
          <w:lang w:val="en-US" w:eastAsia="zh-CN"/>
        </w:rPr>
        <w:t>19.</w:t>
      </w:r>
      <w:r>
        <w:rPr>
          <w:rFonts w:hint="eastAsia" w:ascii="仿宋" w:hAnsi="仿宋" w:eastAsia="仿宋"/>
          <w:color w:val="000000"/>
          <w:sz w:val="28"/>
          <w:szCs w:val="28"/>
          <w:highlight w:val="white"/>
          <w:lang w:eastAsia="zh-CN"/>
        </w:rPr>
        <w:t>卫生健康支出</w:t>
      </w:r>
      <w:r>
        <w:rPr>
          <w:rFonts w:hint="eastAsia" w:ascii="仿宋" w:hAnsi="仿宋" w:eastAsia="仿宋"/>
          <w:color w:val="000000"/>
          <w:sz w:val="28"/>
          <w:szCs w:val="28"/>
          <w:highlight w:val="white"/>
        </w:rPr>
        <w:t>（类）</w:t>
      </w:r>
      <w:r>
        <w:rPr>
          <w:rFonts w:hint="eastAsia" w:ascii="仿宋" w:hAnsi="仿宋" w:eastAsia="仿宋"/>
          <w:color w:val="000000"/>
          <w:sz w:val="28"/>
          <w:szCs w:val="28"/>
          <w:highlight w:val="white"/>
          <w:lang w:eastAsia="zh-CN"/>
        </w:rPr>
        <w:t>行政事业单位医疗</w:t>
      </w:r>
      <w:r>
        <w:rPr>
          <w:rFonts w:hint="eastAsia" w:ascii="仿宋" w:hAnsi="仿宋" w:eastAsia="仿宋"/>
          <w:color w:val="000000"/>
          <w:sz w:val="28"/>
          <w:szCs w:val="28"/>
          <w:highlight w:val="white"/>
        </w:rPr>
        <w:t>（款）</w:t>
      </w:r>
      <w:r>
        <w:rPr>
          <w:rFonts w:hint="eastAsia" w:ascii="仿宋" w:hAnsi="仿宋" w:eastAsia="仿宋"/>
          <w:color w:val="000000"/>
          <w:sz w:val="28"/>
          <w:szCs w:val="28"/>
        </w:rPr>
        <w:t>事业单位医疗</w:t>
      </w:r>
      <w:r>
        <w:rPr>
          <w:rFonts w:hint="eastAsia" w:ascii="仿宋" w:hAnsi="仿宋" w:eastAsia="仿宋"/>
          <w:color w:val="000000"/>
          <w:sz w:val="28"/>
          <w:szCs w:val="28"/>
          <w:highlight w:val="white"/>
        </w:rPr>
        <w:t>（项）</w:t>
      </w:r>
      <w:r>
        <w:rPr>
          <w:rFonts w:hint="eastAsia" w:ascii="仿宋" w:hAnsi="仿宋" w:eastAsia="仿宋"/>
          <w:color w:val="000000"/>
          <w:sz w:val="28"/>
          <w:szCs w:val="28"/>
          <w:highlight w:val="white"/>
          <w:lang w:eastAsia="zh-CN"/>
        </w:rPr>
        <w:t>：指反映行政事业单位医疗方面的支出，财政部门安排的事业单位基本医疗保险缴费经费，未参加医疗保险的事业单位的公费医疗经费，按国家规定享受离休人员待遇的医疗经费</w:t>
      </w:r>
      <w:r>
        <w:rPr>
          <w:rFonts w:hint="eastAsia" w:ascii="仿宋" w:hAnsi="仿宋" w:eastAsia="仿宋"/>
          <w:color w:val="000000"/>
          <w:sz w:val="28"/>
          <w:szCs w:val="2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altName w:val="宋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ljODlmN2EwOGU2MDFiMTdmMDBmYTIxODM4Y2Q0YzMifQ=="/>
  </w:docVars>
  <w:rsids>
    <w:rsidRoot w:val="00A01901"/>
    <w:rsid w:val="000C56DF"/>
    <w:rsid w:val="001D5228"/>
    <w:rsid w:val="001F7F00"/>
    <w:rsid w:val="00263EED"/>
    <w:rsid w:val="002805A1"/>
    <w:rsid w:val="002E7724"/>
    <w:rsid w:val="003A520B"/>
    <w:rsid w:val="00451940"/>
    <w:rsid w:val="00487AF5"/>
    <w:rsid w:val="0049107D"/>
    <w:rsid w:val="004A0996"/>
    <w:rsid w:val="005442F3"/>
    <w:rsid w:val="005D0A5A"/>
    <w:rsid w:val="005D0E2B"/>
    <w:rsid w:val="00687956"/>
    <w:rsid w:val="00744C9C"/>
    <w:rsid w:val="00951EB2"/>
    <w:rsid w:val="00A01901"/>
    <w:rsid w:val="00A10D5F"/>
    <w:rsid w:val="00A874E7"/>
    <w:rsid w:val="00C3535A"/>
    <w:rsid w:val="00CF4F95"/>
    <w:rsid w:val="00D83F19"/>
    <w:rsid w:val="00DC37D1"/>
    <w:rsid w:val="00E44041"/>
    <w:rsid w:val="00EA26E6"/>
    <w:rsid w:val="00F3466C"/>
    <w:rsid w:val="00F56F60"/>
    <w:rsid w:val="016F5A4D"/>
    <w:rsid w:val="38376F0C"/>
    <w:rsid w:val="4DD67FCD"/>
    <w:rsid w:val="606D60A7"/>
    <w:rsid w:val="735E22FF"/>
    <w:rsid w:val="77B4113A"/>
    <w:rsid w:val="7F5D1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font131"/>
    <w:basedOn w:val="3"/>
    <w:qFormat/>
    <w:uiPriority w:val="0"/>
    <w:rPr>
      <w:rFonts w:hint="eastAsia" w:ascii="仿宋_GB2312" w:eastAsia="仿宋_GB2312"/>
      <w:color w:val="000000"/>
      <w:sz w:val="20"/>
      <w:szCs w:val="20"/>
      <w:u w:val="none"/>
    </w:rPr>
  </w:style>
  <w:style w:type="character" w:customStyle="1" w:styleId="5">
    <w:name w:val="font31"/>
    <w:basedOn w:val="3"/>
    <w:qFormat/>
    <w:uiPriority w:val="0"/>
    <w:rPr>
      <w:rFonts w:hint="default" w:ascii="Times New Roman" w:hAnsi="Times New Roman" w:cs="Times New Roman"/>
      <w:color w:val="000000"/>
      <w:sz w:val="20"/>
      <w:szCs w:val="20"/>
      <w:u w:val="none"/>
    </w:rPr>
  </w:style>
  <w:style w:type="character" w:customStyle="1" w:styleId="6">
    <w:name w:val="font51"/>
    <w:basedOn w:val="3"/>
    <w:qFormat/>
    <w:uiPriority w:val="0"/>
    <w:rPr>
      <w:rFonts w:hint="eastAsia" w:ascii="宋体" w:hAnsi="宋体" w:eastAsia="宋体"/>
      <w:color w:val="000000"/>
      <w:sz w:val="18"/>
      <w:szCs w:val="18"/>
      <w:u w:val="none"/>
    </w:rPr>
  </w:style>
  <w:style w:type="character" w:customStyle="1" w:styleId="7">
    <w:name w:val="font01"/>
    <w:basedOn w:val="3"/>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4609</Words>
  <Characters>5023</Characters>
  <Lines>38</Lines>
  <Paragraphs>10</Paragraphs>
  <TotalTime>3</TotalTime>
  <ScaleCrop>false</ScaleCrop>
  <LinksUpToDate>false</LinksUpToDate>
  <CharactersWithSpaces>5047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2022-09-30T09:14:00Z</dcterms:created>
  <dc:creator>郭驾晨</dc:creator>
  <cp:lastModifiedBy>Lindamsel</cp:lastModifiedBy>
  <dcterms:modified xsi:type="dcterms:W3CDTF">2023-09-15T05:57:42Z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66BC26A1B27C4E3283F17BD47B562CC1_12</vt:lpwstr>
  </property>
</Properties>
</file>