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r>
        <w:rPr>
          <w:rFonts w:hint="eastAsia" w:ascii="方正小标宋简体" w:hAnsi="方正小标宋简体" w:eastAsia="方正小标宋简体" w:cs="方正小标宋简体"/>
          <w:b/>
          <w:bCs w:val="0"/>
          <w:spacing w:val="15"/>
          <w:sz w:val="44"/>
          <w:szCs w:val="44"/>
          <w:highlight w:val="none"/>
          <w:lang w:eastAsia="zh-CN"/>
        </w:rPr>
        <w:t>兰溪市青少年宫</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21</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r>
        <w:rPr>
          <w:rStyle w:val="7"/>
          <w:rFonts w:hint="eastAsia" w:ascii="黑体" w:hAnsi="黑体" w:eastAsia="黑体" w:cs="黑体"/>
          <w:b/>
          <w:bCs w:val="0"/>
          <w:color w:val="000000"/>
          <w:sz w:val="32"/>
          <w:szCs w:val="32"/>
          <w:highlight w:val="none"/>
        </w:rPr>
        <w:t>一、</w:t>
      </w:r>
      <w:r>
        <w:rPr>
          <w:rStyle w:val="7"/>
          <w:rFonts w:hint="eastAsia" w:ascii="黑体" w:hAnsi="黑体" w:eastAsia="黑体" w:cs="黑体"/>
          <w:b/>
          <w:bCs w:val="0"/>
          <w:color w:val="000000"/>
          <w:sz w:val="32"/>
          <w:szCs w:val="32"/>
          <w:highlight w:val="none"/>
          <w:lang w:eastAsia="zh-CN"/>
        </w:rPr>
        <w:t>兰溪市青少年宫</w:t>
      </w:r>
      <w:r>
        <w:rPr>
          <w:rStyle w:val="7"/>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highlight w:val="none"/>
        </w:rPr>
        <w:t xml:space="preserve">1. </w:t>
      </w:r>
      <w:r>
        <w:rPr>
          <w:rFonts w:hint="eastAsia" w:ascii="仿宋_GB2312" w:hAnsi="仿宋_GB2312" w:eastAsia="仿宋_GB2312" w:cs="仿宋_GB2312"/>
          <w:sz w:val="32"/>
          <w:szCs w:val="32"/>
        </w:rPr>
        <w:t>负责面向全市青少年学生组织开展各类健康有益的校外公益活动，配合市委、市政府中心工作策划举办全市性青少年教育系列活动，正面引领青少年思想政治，全面推进核心素养。</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rPr>
        <w:t>负责市少先队工作委员会办公室的日常工作。对全市各少先队组织进行业务指导，策划开展少先队主题教育和社会实践活动，对各小学、初中的少先队大、中队辅导员进行业务培训，选拔培养少先队小干部，引导全市少先队员继承红色文化，做社会主义事业接班人。</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 </w:t>
      </w:r>
      <w:r>
        <w:rPr>
          <w:rFonts w:hint="eastAsia" w:ascii="仿宋_GB2312" w:hAnsi="仿宋_GB2312" w:eastAsia="仿宋_GB2312" w:cs="仿宋_GB2312"/>
          <w:sz w:val="32"/>
          <w:szCs w:val="32"/>
        </w:rPr>
        <w:t>负责全市青少年的科技创新教育工作，组织开展全市各类青少年科技创新的竞赛和活动，培养和启蒙青少年的科技创新意识和能力。</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4. </w:t>
      </w:r>
      <w:r>
        <w:rPr>
          <w:rFonts w:hint="eastAsia" w:ascii="仿宋_GB2312" w:hAnsi="仿宋_GB2312" w:eastAsia="仿宋_GB2312" w:cs="仿宋_GB2312"/>
          <w:sz w:val="32"/>
          <w:szCs w:val="32"/>
        </w:rPr>
        <w:t>负责组织开展各类青少年公益培训，培养青少年的艺术特长、劳动技能和科技创新能力，面向留守儿童、困难家庭子女、外来务工子女提供公益性兴趣特长培训。</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5. </w:t>
      </w:r>
      <w:r>
        <w:rPr>
          <w:rFonts w:hint="eastAsia" w:ascii="仿宋_GB2312" w:hAnsi="仿宋_GB2312" w:eastAsia="仿宋_GB2312" w:cs="仿宋_GB2312"/>
          <w:sz w:val="32"/>
          <w:szCs w:val="32"/>
        </w:rPr>
        <w:t>负责与全国各地同行单位和相关机构建立信息交流网络，为全市青少年及时提供各类兴趣特长学习和文化交流平台，培养各类人才幼苗。</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6. </w:t>
      </w:r>
      <w:r>
        <w:rPr>
          <w:rFonts w:hint="eastAsia" w:ascii="仿宋_GB2312" w:hAnsi="仿宋_GB2312" w:eastAsia="仿宋_GB2312" w:cs="仿宋_GB2312"/>
          <w:sz w:val="32"/>
          <w:szCs w:val="32"/>
        </w:rPr>
        <w:t>开展青少年及校外教育工作理论与实践研究，为其他青少年校外活动场所提供指导和咨询服务。</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7. </w:t>
      </w:r>
      <w:r>
        <w:rPr>
          <w:rFonts w:hint="eastAsia" w:ascii="仿宋_GB2312" w:hAnsi="仿宋_GB2312" w:eastAsia="仿宋_GB2312" w:cs="仿宋_GB2312"/>
          <w:sz w:val="32"/>
          <w:szCs w:val="32"/>
        </w:rPr>
        <w:t>完成中国共产主义青年团兰溪市委员会交办的其他任务。</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机构设置情况</w:t>
      </w:r>
    </w:p>
    <w:p>
      <w:pPr>
        <w:ind w:firstLine="640" w:firstLineChars="200"/>
        <w:rPr>
          <w:rFonts w:hint="eastAsia" w:eastAsia="仿宋_GB2312"/>
          <w:sz w:val="32"/>
          <w:szCs w:val="32"/>
        </w:rPr>
      </w:pPr>
      <w:r>
        <w:rPr>
          <w:rFonts w:hint="eastAsia" w:eastAsia="仿宋_GB2312"/>
          <w:sz w:val="32"/>
          <w:szCs w:val="32"/>
        </w:rPr>
        <w:t>兰溪市青少年宫</w:t>
      </w:r>
      <w:r>
        <w:rPr>
          <w:rFonts w:eastAsia="仿宋_GB2312"/>
          <w:sz w:val="32"/>
          <w:szCs w:val="32"/>
        </w:rPr>
        <w:t>内</w:t>
      </w:r>
      <w:r>
        <w:rPr>
          <w:rFonts w:hint="eastAsia" w:eastAsia="仿宋_GB2312"/>
          <w:sz w:val="32"/>
          <w:szCs w:val="32"/>
          <w:lang w:eastAsia="zh-CN"/>
        </w:rPr>
        <w:t>部</w:t>
      </w:r>
      <w:r>
        <w:rPr>
          <w:rFonts w:eastAsia="仿宋_GB2312"/>
          <w:sz w:val="32"/>
          <w:szCs w:val="32"/>
        </w:rPr>
        <w:t>机构</w:t>
      </w:r>
      <w:r>
        <w:rPr>
          <w:rFonts w:hint="eastAsia" w:eastAsia="仿宋_GB2312"/>
          <w:sz w:val="32"/>
          <w:szCs w:val="32"/>
          <w:lang w:eastAsia="zh-CN"/>
        </w:rPr>
        <w:t>设置：</w:t>
      </w:r>
      <w:r>
        <w:rPr>
          <w:rFonts w:eastAsia="仿宋_GB2312"/>
          <w:sz w:val="32"/>
          <w:szCs w:val="32"/>
        </w:rPr>
        <w:t>办公室</w:t>
      </w:r>
      <w:r>
        <w:rPr>
          <w:rFonts w:hint="eastAsia" w:eastAsia="仿宋_GB2312"/>
          <w:sz w:val="32"/>
          <w:szCs w:val="32"/>
        </w:rPr>
        <w:t>、少先队工作和公益活动部（少工部）、科技教育和公益培训部（科训部）、青少年研究和交流宣传部（研宣部）。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7"/>
          <w:rFonts w:hint="eastAsia" w:ascii="楷体_GB2312" w:hAnsi="楷体_GB2312" w:eastAsia="楷体_GB2312" w:cs="楷体_GB2312"/>
          <w:b/>
          <w:bCs w:val="0"/>
          <w:color w:val="000000"/>
          <w:sz w:val="32"/>
          <w:szCs w:val="32"/>
          <w:highlight w:val="none"/>
          <w:lang w:eastAsia="zh-CN"/>
        </w:rPr>
        <w:t>二、兰溪市青少年宫</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21</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单位</w:t>
      </w:r>
      <w:r>
        <w:rPr>
          <w:rStyle w:val="7"/>
          <w:rFonts w:hint="eastAsia" w:ascii="楷体_GB2312" w:hAnsi="楷体_GB2312" w:eastAsia="楷体_GB2312" w:cs="楷体_GB2312"/>
          <w:b/>
          <w:bCs w:val="0"/>
          <w:color w:val="000000"/>
          <w:sz w:val="32"/>
          <w:szCs w:val="32"/>
          <w:highlight w:val="none"/>
        </w:rPr>
        <w:t>预算安排情况说明</w:t>
      </w:r>
      <w:r>
        <w:rPr>
          <w:rStyle w:val="7"/>
          <w:rFonts w:hint="eastAsia" w:ascii="楷体_GB2312" w:hAnsi="楷体_GB2312" w:eastAsia="楷体_GB2312" w:cs="楷体_GB2312"/>
          <w:b/>
          <w:bCs w:val="0"/>
          <w:color w:val="000000"/>
          <w:sz w:val="32"/>
          <w:szCs w:val="32"/>
          <w:highlight w:val="none"/>
        </w:rPr>
        <w:br w:type="textWrapping"/>
      </w:r>
      <w:r>
        <w:rPr>
          <w:rFonts w:hint="eastAsia" w:ascii="楷体_GB2312" w:hAnsi="楷体_GB2312" w:eastAsia="楷体_GB2312" w:cs="楷体_GB2312"/>
          <w:b/>
          <w:bCs w:val="0"/>
          <w:color w:val="000000"/>
          <w:sz w:val="32"/>
          <w:szCs w:val="32"/>
          <w:highlight w:val="none"/>
        </w:rPr>
        <w:t>　　（一）</w:t>
      </w:r>
      <w:r>
        <w:rPr>
          <w:rFonts w:hint="eastAsia" w:ascii="楷体_GB2312" w:hAnsi="楷体_GB2312" w:eastAsia="楷体_GB2312" w:cs="楷体_GB2312"/>
          <w:b/>
          <w:bCs w:val="0"/>
          <w:color w:val="000000"/>
          <w:sz w:val="32"/>
          <w:szCs w:val="32"/>
          <w:highlight w:val="none"/>
          <w:lang w:eastAsia="zh-CN"/>
        </w:rPr>
        <w:t>关于兰溪市</w:t>
      </w:r>
      <w:r>
        <w:rPr>
          <w:rStyle w:val="7"/>
          <w:rFonts w:hint="eastAsia" w:ascii="楷体_GB2312" w:hAnsi="楷体_GB2312" w:eastAsia="楷体_GB2312" w:cs="楷体_GB2312"/>
          <w:b/>
          <w:bCs w:val="0"/>
          <w:color w:val="000000"/>
          <w:sz w:val="32"/>
          <w:szCs w:val="32"/>
          <w:highlight w:val="none"/>
          <w:lang w:eastAsia="zh-CN"/>
        </w:rPr>
        <w:t>青少年宫</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21</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val="0"/>
          <w:bCs/>
          <w:color w:val="000000"/>
          <w:sz w:val="32"/>
          <w:szCs w:val="32"/>
          <w:highlight w:val="none"/>
          <w:lang w:val="en-US"/>
        </w:rPr>
      </w:pPr>
      <w:r>
        <w:rPr>
          <w:rFonts w:hint="eastAsia" w:ascii="仿宋_GB2312" w:hAnsi="仿宋_GB2312" w:eastAsia="仿宋_GB2312" w:cs="仿宋_GB2312"/>
          <w:b w:val="0"/>
          <w:bCs/>
          <w:color w:val="000000"/>
          <w:sz w:val="32"/>
          <w:szCs w:val="32"/>
          <w:highlight w:val="none"/>
          <w:lang w:val="en-US" w:eastAsia="zh-CN"/>
        </w:rPr>
        <w:t xml:space="preserve">    按照</w:t>
      </w:r>
      <w:r>
        <w:rPr>
          <w:rFonts w:hint="eastAsia" w:ascii="仿宋_GB2312" w:hAnsi="仿宋_GB2312" w:eastAsia="仿宋_GB2312" w:cs="仿宋_GB2312"/>
          <w:b w:val="0"/>
          <w:bCs/>
          <w:sz w:val="32"/>
          <w:szCs w:val="32"/>
          <w:highlight w:val="none"/>
          <w:lang w:val="en-US" w:eastAsia="zh-CN"/>
        </w:rPr>
        <w:t>综合预算的原则，兰溪市</w:t>
      </w:r>
      <w:r>
        <w:rPr>
          <w:rFonts w:hint="eastAsia" w:ascii="仿宋_GB2312" w:hAnsi="仿宋_GB2312" w:eastAsia="仿宋_GB2312" w:cs="仿宋_GB2312"/>
          <w:b w:val="0"/>
          <w:bCs/>
          <w:color w:val="000000"/>
          <w:sz w:val="32"/>
          <w:szCs w:val="32"/>
          <w:highlight w:val="none"/>
          <w:lang w:eastAsia="zh-CN"/>
        </w:rPr>
        <w:t>青少年宫所有收入和支出均纳入部门预算管理。收入包括：一般公共预算拨款收入；支出按功能科目分包括：教育支出、卫生健康支出。兰溪市青少年宫</w:t>
      </w:r>
      <w:r>
        <w:rPr>
          <w:rFonts w:hint="eastAsia" w:ascii="仿宋_GB2312" w:hAnsi="仿宋_GB2312" w:eastAsia="仿宋_GB2312" w:cs="仿宋_GB2312"/>
          <w:b w:val="0"/>
          <w:bCs/>
          <w:color w:val="000000"/>
          <w:sz w:val="32"/>
          <w:szCs w:val="32"/>
          <w:highlight w:val="none"/>
          <w:lang w:val="en-US" w:eastAsia="zh-CN"/>
        </w:rPr>
        <w:t>2021年收支总预算275.35万元。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关于兰溪市青少年宫202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兰溪市青少年宫202</w:t>
      </w:r>
      <w:r>
        <w:rPr>
          <w:rFonts w:hint="eastAsia" w:ascii="仿宋_GB2312" w:hAnsi="仿宋_GB2312" w:eastAsia="仿宋_GB2312" w:cs="仿宋_GB2312"/>
          <w:b w:val="0"/>
          <w:bCs/>
          <w:color w:val="000000"/>
          <w:sz w:val="32"/>
          <w:szCs w:val="32"/>
          <w:highlight w:val="none"/>
          <w:lang w:val="en-US" w:eastAsia="zh-CN"/>
        </w:rPr>
        <w:t>1</w:t>
      </w:r>
      <w:r>
        <w:rPr>
          <w:rFonts w:hint="eastAsia" w:ascii="仿宋_GB2312" w:hAnsi="仿宋_GB2312" w:eastAsia="仿宋_GB2312" w:cs="仿宋_GB2312"/>
          <w:b w:val="0"/>
          <w:bCs/>
          <w:color w:val="000000"/>
          <w:sz w:val="32"/>
          <w:szCs w:val="32"/>
          <w:highlight w:val="none"/>
        </w:rPr>
        <w:t>年收入预算</w:t>
      </w:r>
      <w:r>
        <w:rPr>
          <w:rFonts w:hint="eastAsia" w:ascii="仿宋_GB2312" w:hAnsi="仿宋_GB2312" w:eastAsia="仿宋_GB2312" w:cs="仿宋_GB2312"/>
          <w:b w:val="0"/>
          <w:bCs/>
          <w:color w:val="000000"/>
          <w:sz w:val="32"/>
          <w:szCs w:val="32"/>
          <w:highlight w:val="none"/>
          <w:lang w:val="en-US" w:eastAsia="zh-CN"/>
        </w:rPr>
        <w:t>275.35</w:t>
      </w:r>
      <w:r>
        <w:rPr>
          <w:rFonts w:hint="eastAsia" w:ascii="仿宋_GB2312" w:hAnsi="仿宋_GB2312" w:eastAsia="仿宋_GB2312" w:cs="仿宋_GB2312"/>
          <w:b w:val="0"/>
          <w:bCs/>
          <w:color w:val="000000"/>
          <w:sz w:val="32"/>
          <w:szCs w:val="32"/>
          <w:highlight w:val="none"/>
        </w:rPr>
        <w:t>万元，其中：</w:t>
      </w:r>
      <w:r>
        <w:rPr>
          <w:rFonts w:hint="eastAsia" w:ascii="仿宋_GB2312" w:hAnsi="仿宋_GB2312" w:eastAsia="仿宋_GB2312" w:cs="仿宋_GB2312"/>
          <w:b w:val="0"/>
          <w:bCs/>
          <w:color w:val="000000"/>
          <w:sz w:val="32"/>
          <w:szCs w:val="32"/>
          <w:highlight w:val="none"/>
          <w:lang w:eastAsia="zh-CN"/>
        </w:rPr>
        <w:t>一般公共预算拨款收入</w:t>
      </w:r>
      <w:r>
        <w:rPr>
          <w:rFonts w:hint="eastAsia" w:ascii="仿宋_GB2312" w:hAnsi="仿宋_GB2312" w:eastAsia="仿宋_GB2312" w:cs="仿宋_GB2312"/>
          <w:b w:val="0"/>
          <w:bCs/>
          <w:color w:val="000000"/>
          <w:sz w:val="32"/>
          <w:szCs w:val="32"/>
          <w:highlight w:val="none"/>
          <w:lang w:val="en-US" w:eastAsia="zh-CN"/>
        </w:rPr>
        <w:t>275.35</w:t>
      </w:r>
      <w:r>
        <w:rPr>
          <w:rFonts w:hint="eastAsia" w:ascii="仿宋_GB2312" w:hAnsi="仿宋_GB2312" w:eastAsia="仿宋_GB2312" w:cs="仿宋_GB2312"/>
          <w:b w:val="0"/>
          <w:bCs/>
          <w:color w:val="000000"/>
          <w:sz w:val="32"/>
          <w:szCs w:val="32"/>
          <w:highlight w:val="none"/>
        </w:rPr>
        <w:t>万元，占</w:t>
      </w:r>
      <w:r>
        <w:rPr>
          <w:rFonts w:hint="eastAsia" w:ascii="仿宋_GB2312" w:hAnsi="仿宋_GB2312" w:eastAsia="仿宋_GB2312" w:cs="仿宋_GB2312"/>
          <w:b w:val="0"/>
          <w:bCs/>
          <w:color w:val="000000"/>
          <w:sz w:val="32"/>
          <w:szCs w:val="32"/>
          <w:highlight w:val="none"/>
          <w:lang w:val="en-US" w:eastAsia="zh-CN"/>
        </w:rPr>
        <w:t>100</w:t>
      </w:r>
      <w:r>
        <w:rPr>
          <w:rFonts w:hint="eastAsia" w:ascii="仿宋_GB2312" w:hAnsi="仿宋_GB2312" w:eastAsia="仿宋_GB2312" w:cs="仿宋_GB2312"/>
          <w:b w:val="0"/>
          <w:bCs/>
          <w:color w:val="000000"/>
          <w:sz w:val="32"/>
          <w:szCs w:val="32"/>
          <w:highlight w:val="none"/>
        </w:rPr>
        <w:t xml:space="preserve"> %。</w:t>
      </w:r>
      <w:r>
        <w:rPr>
          <w:rFonts w:hint="eastAsia" w:ascii="仿宋_GB2312" w:hAnsi="仿宋_GB2312" w:eastAsia="仿宋_GB2312" w:cs="仿宋_GB2312"/>
          <w:b w:val="0"/>
          <w:bCs/>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关于兰溪市青少年宫202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
          <w:bCs w:val="0"/>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 w:val="0"/>
          <w:bCs/>
          <w:color w:val="000000"/>
          <w:sz w:val="32"/>
          <w:szCs w:val="32"/>
          <w:highlight w:val="none"/>
          <w:lang w:eastAsia="zh-CN"/>
        </w:rPr>
        <w:t>兰溪市青少年宫202</w:t>
      </w:r>
      <w:r>
        <w:rPr>
          <w:rFonts w:hint="eastAsia" w:ascii="仿宋_GB2312" w:hAnsi="仿宋_GB2312" w:eastAsia="仿宋_GB2312" w:cs="仿宋_GB2312"/>
          <w:b w:val="0"/>
          <w:bCs/>
          <w:color w:val="000000"/>
          <w:sz w:val="32"/>
          <w:szCs w:val="32"/>
          <w:highlight w:val="none"/>
          <w:lang w:val="en-US" w:eastAsia="zh-CN"/>
        </w:rPr>
        <w:t>1</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val="en-US" w:eastAsia="zh-CN"/>
        </w:rPr>
        <w:t>275.35</w:t>
      </w:r>
      <w:r>
        <w:rPr>
          <w:rFonts w:hint="eastAsia" w:ascii="仿宋_GB2312" w:hAnsi="仿宋_GB2312" w:eastAsia="仿宋_GB2312" w:cs="仿宋_GB2312"/>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按支出功能分类，包括</w:t>
      </w:r>
      <w:r>
        <w:rPr>
          <w:rFonts w:hint="eastAsia" w:ascii="仿宋_GB2312" w:hAnsi="仿宋_GB2312" w:eastAsia="仿宋_GB2312" w:cs="仿宋_GB2312"/>
          <w:b w:val="0"/>
          <w:bCs/>
          <w:color w:val="000000"/>
          <w:sz w:val="32"/>
          <w:szCs w:val="32"/>
          <w:highlight w:val="none"/>
          <w:lang w:eastAsia="zh-CN"/>
        </w:rPr>
        <w:t>教育支出</w:t>
      </w:r>
      <w:r>
        <w:rPr>
          <w:rFonts w:hint="eastAsia" w:ascii="仿宋_GB2312" w:hAnsi="仿宋_GB2312" w:eastAsia="仿宋_GB2312" w:cs="仿宋_GB2312"/>
          <w:b w:val="0"/>
          <w:bCs/>
          <w:color w:val="000000"/>
          <w:sz w:val="32"/>
          <w:szCs w:val="32"/>
          <w:highlight w:val="none"/>
          <w:lang w:val="en-US" w:eastAsia="zh-CN"/>
        </w:rPr>
        <w:t>268.37万元</w:t>
      </w:r>
      <w:r>
        <w:rPr>
          <w:rFonts w:hint="eastAsia" w:ascii="仿宋_GB2312" w:hAnsi="仿宋_GB2312" w:eastAsia="仿宋_GB2312" w:cs="仿宋_GB2312"/>
          <w:b w:val="0"/>
          <w:bCs/>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6.98</w:t>
      </w:r>
      <w:r>
        <w:rPr>
          <w:rFonts w:hint="eastAsia" w:ascii="仿宋_GB2312" w:hAnsi="仿宋_GB2312" w:eastAsia="仿宋_GB2312" w:cs="仿宋_GB2312"/>
          <w:b w:val="0"/>
          <w:bCs/>
          <w:color w:val="000000"/>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rPr>
        <w:t>2.按支出用途分类，包括人员支出</w:t>
      </w:r>
      <w:r>
        <w:rPr>
          <w:rFonts w:hint="eastAsia" w:ascii="仿宋_GB2312" w:hAnsi="仿宋_GB2312" w:eastAsia="仿宋_GB2312" w:cs="仿宋_GB2312"/>
          <w:b w:val="0"/>
          <w:bCs/>
          <w:color w:val="000000"/>
          <w:sz w:val="32"/>
          <w:szCs w:val="32"/>
          <w:highlight w:val="none"/>
          <w:lang w:val="en-US" w:eastAsia="zh-CN"/>
        </w:rPr>
        <w:t>234.95</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85.33</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日常公用支出</w:t>
      </w:r>
      <w:r>
        <w:rPr>
          <w:rFonts w:hint="eastAsia" w:ascii="仿宋_GB2312" w:hAnsi="仿宋_GB2312" w:eastAsia="仿宋_GB2312" w:cs="仿宋_GB2312"/>
          <w:b w:val="0"/>
          <w:bCs/>
          <w:color w:val="000000"/>
          <w:sz w:val="32"/>
          <w:szCs w:val="32"/>
          <w:highlight w:val="none"/>
          <w:lang w:val="en-US" w:eastAsia="zh-CN"/>
        </w:rPr>
        <w:t>19.00</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6.90</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项目支出</w:t>
      </w:r>
      <w:r>
        <w:rPr>
          <w:rFonts w:hint="eastAsia" w:ascii="仿宋_GB2312" w:hAnsi="仿宋_GB2312" w:eastAsia="仿宋_GB2312" w:cs="仿宋_GB2312"/>
          <w:b w:val="0"/>
          <w:bCs/>
          <w:color w:val="000000"/>
          <w:sz w:val="32"/>
          <w:szCs w:val="32"/>
          <w:highlight w:val="none"/>
          <w:lang w:val="en-US" w:eastAsia="zh-CN"/>
        </w:rPr>
        <w:t>21.40</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7.77</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关于兰溪市青少年宫202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兰溪市青少年宫</w:t>
      </w:r>
      <w:r>
        <w:rPr>
          <w:rFonts w:hint="eastAsia" w:ascii="仿宋_GB2312" w:hAnsi="仿宋_GB2312" w:eastAsia="仿宋_GB2312" w:cs="仿宋_GB2312"/>
          <w:b w:val="0"/>
          <w:bCs/>
          <w:color w:val="000000"/>
          <w:sz w:val="32"/>
          <w:szCs w:val="32"/>
          <w:highlight w:val="none"/>
          <w:lang w:val="en-US" w:eastAsia="zh-CN"/>
        </w:rPr>
        <w:t>2021年财政拨款收支总预算275.35万元。包括：一般公共预算拨款收入275.35万元；支出包括：教育支出268.37万元、卫生健康支出 6.98万元。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（五）关于兰溪市青少年宫202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兰溪市青少年宫</w:t>
      </w:r>
      <w:r>
        <w:rPr>
          <w:rFonts w:hint="eastAsia" w:ascii="仿宋_GB2312" w:hAnsi="仿宋_GB2312" w:eastAsia="仿宋_GB2312" w:cs="仿宋_GB2312"/>
          <w:b w:val="0"/>
          <w:bCs/>
          <w:color w:val="000000"/>
          <w:sz w:val="32"/>
          <w:szCs w:val="32"/>
          <w:highlight w:val="none"/>
          <w:lang w:val="en-US" w:eastAsia="zh-CN"/>
        </w:rPr>
        <w:t>2021年一般公共预算当年拨款275.35万元，比上年执行数增加38.8万元，主要是人员支出增加及项目支出增加。</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教育支出268.37万元，占97.47%；卫生健康支出 6.98万元，占2.53%。</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1</w:t>
      </w:r>
      <w:r>
        <w:rPr>
          <w:rFonts w:hint="eastAsia" w:ascii="仿宋_GB2312" w:hAnsi="仿宋_GB2312" w:eastAsia="仿宋_GB2312" w:cs="仿宋_GB2312"/>
          <w:b w:val="0"/>
          <w:bCs/>
          <w:color w:val="000000"/>
          <w:sz w:val="32"/>
          <w:szCs w:val="32"/>
          <w:highlight w:val="none"/>
          <w:lang w:eastAsia="zh-CN"/>
        </w:rPr>
        <w:t>）教育支出</w:t>
      </w:r>
      <w:r>
        <w:rPr>
          <w:rFonts w:hint="eastAsia" w:ascii="仿宋_GB2312" w:hAnsi="仿宋_GB2312" w:eastAsia="仿宋_GB2312" w:cs="仿宋_GB2312"/>
          <w:b w:val="0"/>
          <w:bCs/>
          <w:color w:val="000000"/>
          <w:sz w:val="32"/>
          <w:szCs w:val="32"/>
          <w:highlight w:val="none"/>
        </w:rPr>
        <w:t>（类）</w:t>
      </w:r>
      <w:r>
        <w:rPr>
          <w:rFonts w:hint="eastAsia" w:ascii="仿宋_GB2312" w:hAnsi="仿宋_GB2312" w:eastAsia="仿宋_GB2312" w:cs="仿宋_GB2312"/>
          <w:b w:val="0"/>
          <w:bCs/>
          <w:color w:val="000000"/>
          <w:sz w:val="32"/>
          <w:szCs w:val="32"/>
          <w:highlight w:val="none"/>
          <w:lang w:eastAsia="zh-CN"/>
        </w:rPr>
        <w:t>普通教育</w:t>
      </w:r>
      <w:r>
        <w:rPr>
          <w:rFonts w:hint="eastAsia" w:ascii="仿宋_GB2312" w:hAnsi="仿宋_GB2312" w:eastAsia="仿宋_GB2312" w:cs="仿宋_GB2312"/>
          <w:b w:val="0"/>
          <w:bCs/>
          <w:color w:val="000000"/>
          <w:sz w:val="32"/>
          <w:szCs w:val="32"/>
          <w:highlight w:val="none"/>
        </w:rPr>
        <w:t>（款）</w:t>
      </w:r>
      <w:r>
        <w:rPr>
          <w:rFonts w:hint="eastAsia" w:ascii="仿宋_GB2312" w:hAnsi="仿宋_GB2312" w:eastAsia="仿宋_GB2312" w:cs="仿宋_GB2312"/>
          <w:b w:val="0"/>
          <w:bCs/>
          <w:color w:val="000000"/>
          <w:sz w:val="32"/>
          <w:szCs w:val="32"/>
          <w:highlight w:val="none"/>
          <w:lang w:eastAsia="zh-CN"/>
        </w:rPr>
        <w:t>其他普通教育支出</w:t>
      </w:r>
      <w:r>
        <w:rPr>
          <w:rFonts w:hint="eastAsia" w:ascii="仿宋_GB2312" w:hAnsi="仿宋_GB2312" w:eastAsia="仿宋_GB2312" w:cs="仿宋_GB2312"/>
          <w:b w:val="0"/>
          <w:bCs/>
          <w:color w:val="000000"/>
          <w:sz w:val="32"/>
          <w:szCs w:val="32"/>
          <w:highlight w:val="none"/>
        </w:rPr>
        <w:t>（项）</w:t>
      </w:r>
      <w:r>
        <w:rPr>
          <w:rFonts w:hint="eastAsia" w:ascii="仿宋_GB2312" w:hAnsi="仿宋_GB2312" w:eastAsia="仿宋_GB2312" w:cs="仿宋_GB2312"/>
          <w:b w:val="0"/>
          <w:bCs/>
          <w:color w:val="000000"/>
          <w:sz w:val="32"/>
          <w:szCs w:val="32"/>
          <w:highlight w:val="none"/>
          <w:lang w:val="en-US" w:eastAsia="zh-CN"/>
        </w:rPr>
        <w:t>268.37</w:t>
      </w:r>
      <w:r>
        <w:rPr>
          <w:rFonts w:hint="eastAsia" w:ascii="仿宋_GB2312" w:hAnsi="仿宋_GB2312" w:eastAsia="仿宋_GB2312" w:cs="仿宋_GB2312"/>
          <w:b w:val="0"/>
          <w:bCs/>
          <w:color w:val="000000"/>
          <w:sz w:val="32"/>
          <w:szCs w:val="32"/>
          <w:highlight w:val="none"/>
        </w:rPr>
        <w:t>万元，主要用于</w:t>
      </w:r>
      <w:r>
        <w:rPr>
          <w:rFonts w:eastAsia="仿宋_GB2312"/>
          <w:color w:val="000000"/>
          <w:kern w:val="0"/>
          <w:sz w:val="32"/>
          <w:szCs w:val="32"/>
        </w:rPr>
        <w:t>青少年宫人员支出、日常公用支出及项目支出。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2</w:t>
      </w:r>
      <w:r>
        <w:rPr>
          <w:rFonts w:hint="eastAsia" w:ascii="仿宋_GB2312" w:hAnsi="仿宋_GB2312" w:eastAsia="仿宋_GB2312" w:cs="仿宋_GB2312"/>
          <w:b w:val="0"/>
          <w:bCs/>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rPr>
        <w:t>（类）</w:t>
      </w:r>
      <w:r>
        <w:rPr>
          <w:rFonts w:hint="eastAsia" w:ascii="仿宋_GB2312" w:hAnsi="仿宋_GB2312" w:eastAsia="仿宋_GB2312" w:cs="仿宋_GB2312"/>
          <w:b w:val="0"/>
          <w:bCs/>
          <w:color w:val="000000"/>
          <w:sz w:val="32"/>
          <w:szCs w:val="32"/>
          <w:highlight w:val="none"/>
          <w:lang w:eastAsia="zh-CN"/>
        </w:rPr>
        <w:t>行政事业单位医疗</w:t>
      </w:r>
      <w:r>
        <w:rPr>
          <w:rFonts w:hint="eastAsia" w:ascii="仿宋_GB2312" w:hAnsi="仿宋_GB2312" w:eastAsia="仿宋_GB2312" w:cs="仿宋_GB2312"/>
          <w:b w:val="0"/>
          <w:bCs/>
          <w:color w:val="000000"/>
          <w:sz w:val="32"/>
          <w:szCs w:val="32"/>
          <w:highlight w:val="none"/>
        </w:rPr>
        <w:t>（款）</w:t>
      </w:r>
      <w:r>
        <w:rPr>
          <w:rFonts w:hint="eastAsia" w:ascii="仿宋_GB2312" w:hAnsi="仿宋_GB2312" w:eastAsia="仿宋_GB2312" w:cs="仿宋_GB2312"/>
          <w:b w:val="0"/>
          <w:bCs/>
          <w:color w:val="000000"/>
          <w:sz w:val="32"/>
          <w:szCs w:val="32"/>
          <w:highlight w:val="none"/>
          <w:lang w:eastAsia="zh-CN"/>
        </w:rPr>
        <w:t>事业单位医疗</w:t>
      </w:r>
      <w:r>
        <w:rPr>
          <w:rFonts w:hint="eastAsia" w:ascii="仿宋_GB2312" w:hAnsi="仿宋_GB2312" w:eastAsia="仿宋_GB2312" w:cs="仿宋_GB2312"/>
          <w:b w:val="0"/>
          <w:bCs/>
          <w:color w:val="000000"/>
          <w:sz w:val="32"/>
          <w:szCs w:val="32"/>
          <w:highlight w:val="none"/>
        </w:rPr>
        <w:t>（项）</w:t>
      </w:r>
      <w:r>
        <w:rPr>
          <w:rFonts w:hint="eastAsia" w:ascii="仿宋_GB2312" w:hAnsi="仿宋_GB2312" w:eastAsia="仿宋_GB2312" w:cs="仿宋_GB2312"/>
          <w:b w:val="0"/>
          <w:bCs/>
          <w:color w:val="000000"/>
          <w:sz w:val="32"/>
          <w:szCs w:val="32"/>
          <w:highlight w:val="none"/>
          <w:lang w:val="en-US" w:eastAsia="zh-CN"/>
        </w:rPr>
        <w:t>6.98</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职工基本</w:t>
      </w:r>
      <w:r>
        <w:rPr>
          <w:rFonts w:hint="eastAsia" w:ascii="仿宋_GB2312" w:hAnsi="仿宋_GB2312" w:eastAsia="仿宋_GB2312" w:cs="仿宋_GB2312"/>
          <w:b w:val="0"/>
          <w:bCs/>
          <w:color w:val="000000"/>
          <w:sz w:val="32"/>
          <w:szCs w:val="32"/>
          <w:highlight w:val="none"/>
          <w:lang w:val="en-US" w:eastAsia="zh-CN"/>
        </w:rPr>
        <w:t>医疗保险缴费</w:t>
      </w:r>
      <w:r>
        <w:rPr>
          <w:rFonts w:hint="eastAsia" w:ascii="仿宋_GB2312" w:hAnsi="仿宋_GB2312" w:eastAsia="仿宋_GB2312" w:cs="仿宋_GB2312"/>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关于兰溪市青少年宫202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兰溪市青少年宫202</w:t>
      </w:r>
      <w:r>
        <w:rPr>
          <w:rFonts w:hint="eastAsia" w:ascii="仿宋_GB2312" w:hAnsi="仿宋_GB2312" w:eastAsia="仿宋_GB2312" w:cs="仿宋_GB2312"/>
          <w:b w:val="0"/>
          <w:bCs/>
          <w:color w:val="000000"/>
          <w:sz w:val="32"/>
          <w:szCs w:val="32"/>
          <w:highlight w:val="none"/>
          <w:lang w:val="en-US" w:eastAsia="zh-CN"/>
        </w:rPr>
        <w:t>1</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253.95万元，其中：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人员经费234.95万元，主要包括：基本工资、津贴补贴、奖金、绩效工资、机关事业单位基本养老保险缴费、职业年金缴费、职工基本医疗保险缴费、其他社会保障缴费、其他工资福利支出、退休费、住房公积金；</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公用经费18万元，主要包括：办公费、邮电费、水费、电费、差旅费、维修（护）费、工会经费、福利费、伙食补助费、其他商品和服务支出。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公共交通费1万元。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（七）关于兰溪市青少年宫202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val="0"/>
          <w:bCs/>
          <w:color w:val="000000"/>
          <w:sz w:val="32"/>
          <w:szCs w:val="32"/>
          <w:highlight w:val="none"/>
          <w:lang w:eastAsia="zh-CN"/>
        </w:rPr>
        <w:t>兰溪市青少年宫</w:t>
      </w:r>
      <w:r>
        <w:rPr>
          <w:rFonts w:hint="eastAsia" w:ascii="仿宋_GB2312" w:hAnsi="仿宋_GB2312" w:eastAsia="仿宋_GB2312" w:cs="仿宋_GB2312"/>
          <w:b w:val="0"/>
          <w:bCs/>
          <w:color w:val="000000"/>
          <w:sz w:val="32"/>
          <w:szCs w:val="32"/>
          <w:highlight w:val="none"/>
          <w:lang w:val="en-US" w:eastAsia="zh-CN"/>
        </w:rPr>
        <w:t>2021年没有使用政府性基金预算拨款安排的支出。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（八）关于兰溪市青少年宫202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bookmarkStart w:id="0" w:name="_GoBack"/>
      <w:bookmarkEnd w:id="0"/>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sz w:val="32"/>
          <w:szCs w:val="32"/>
          <w:highlight w:val="none"/>
          <w:lang w:eastAsia="zh-CN"/>
        </w:rPr>
        <w:t>兰溪市青少年宫</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1</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color w:val="000000"/>
          <w:kern w:val="2"/>
          <w:sz w:val="32"/>
          <w:szCs w:val="32"/>
          <w:highlight w:val="none"/>
        </w:rPr>
        <w:t>万元，比20</w:t>
      </w:r>
      <w:r>
        <w:rPr>
          <w:rFonts w:hint="eastAsia" w:ascii="仿宋_GB2312" w:hAnsi="仿宋_GB2312" w:eastAsia="仿宋_GB2312" w:cs="仿宋_GB2312"/>
          <w:b w:val="0"/>
          <w:bCs/>
          <w:color w:val="000000"/>
          <w:kern w:val="2"/>
          <w:sz w:val="32"/>
          <w:szCs w:val="32"/>
          <w:highlight w:val="none"/>
          <w:lang w:val="en-US" w:eastAsia="zh-CN"/>
        </w:rPr>
        <w:t>20</w:t>
      </w:r>
      <w:r>
        <w:rPr>
          <w:rFonts w:hint="eastAsia" w:ascii="仿宋_GB2312" w:hAnsi="仿宋_GB2312" w:eastAsia="仿宋_GB2312" w:cs="仿宋_GB2312"/>
          <w:b w:val="0"/>
          <w:bCs/>
          <w:color w:val="000000"/>
          <w:kern w:val="2"/>
          <w:sz w:val="32"/>
          <w:szCs w:val="32"/>
          <w:highlight w:val="none"/>
        </w:rPr>
        <w:t>年执行数增加</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color w:val="000000"/>
          <w:kern w:val="2"/>
          <w:sz w:val="32"/>
          <w:szCs w:val="32"/>
          <w:highlight w:val="none"/>
        </w:rPr>
        <w:t>万元，增长</w:t>
      </w:r>
      <w:r>
        <w:rPr>
          <w:rFonts w:hint="eastAsia" w:ascii="仿宋_GB2312" w:hAnsi="仿宋_GB2312" w:eastAsia="仿宋_GB2312" w:cs="仿宋_GB2312"/>
          <w:b w:val="0"/>
          <w:bCs/>
          <w:color w:val="000000"/>
          <w:kern w:val="2"/>
          <w:sz w:val="32"/>
          <w:szCs w:val="32"/>
          <w:highlight w:val="none"/>
          <w:lang w:val="en-US" w:eastAsia="zh-CN"/>
        </w:rPr>
        <w:t xml:space="preserve">0 </w:t>
      </w:r>
      <w:r>
        <w:rPr>
          <w:rFonts w:hint="eastAsia" w:ascii="仿宋_GB2312" w:hAnsi="仿宋_GB2312" w:eastAsia="仿宋_GB2312" w:cs="仿宋_GB2312"/>
          <w:b w:val="0"/>
          <w:bCs/>
          <w:color w:val="000000"/>
          <w:kern w:val="2"/>
          <w:sz w:val="32"/>
          <w:szCs w:val="32"/>
          <w:highlight w:val="none"/>
        </w:rPr>
        <w:t>%，具体如下：</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kern w:val="2"/>
          <w:sz w:val="32"/>
          <w:szCs w:val="32"/>
          <w:highlight w:val="none"/>
        </w:rPr>
        <w:t>1.因公出国（境）</w:t>
      </w:r>
      <w:r>
        <w:rPr>
          <w:rFonts w:hint="eastAsia" w:ascii="仿宋_GB2312" w:hAnsi="仿宋_GB2312" w:eastAsia="仿宋_GB2312" w:cs="仿宋_GB2312"/>
          <w:b w:val="0"/>
          <w:bCs/>
          <w:color w:val="000000"/>
          <w:kern w:val="2"/>
          <w:sz w:val="32"/>
          <w:szCs w:val="32"/>
          <w:highlight w:val="none"/>
          <w:lang w:eastAsia="zh-CN"/>
        </w:rPr>
        <w:t>费用</w:t>
      </w:r>
      <w:r>
        <w:rPr>
          <w:rFonts w:hint="eastAsia" w:ascii="仿宋_GB2312" w:hAnsi="仿宋_GB2312" w:eastAsia="仿宋_GB2312" w:cs="仿宋_GB2312"/>
          <w:b w:val="0"/>
          <w:bCs/>
          <w:color w:val="000000"/>
          <w:kern w:val="2"/>
          <w:sz w:val="32"/>
          <w:szCs w:val="32"/>
          <w:highlight w:val="none"/>
        </w:rPr>
        <w:t>：</w:t>
      </w:r>
      <w:r>
        <w:rPr>
          <w:rFonts w:hint="eastAsia" w:ascii="仿宋_GB2312" w:hAnsi="仿宋_GB2312" w:eastAsia="仿宋_GB2312" w:cs="仿宋_GB2312"/>
          <w:b w:val="0"/>
          <w:bCs/>
          <w:sz w:val="32"/>
          <w:szCs w:val="32"/>
          <w:highlight w:val="none"/>
        </w:rPr>
        <w:t>根据</w:t>
      </w:r>
      <w:r>
        <w:rPr>
          <w:rFonts w:hint="eastAsia" w:ascii="仿宋_GB2312" w:hAnsi="仿宋_GB2312" w:eastAsia="仿宋_GB2312" w:cs="仿宋_GB2312"/>
          <w:b w:val="0"/>
          <w:bCs/>
          <w:sz w:val="32"/>
          <w:szCs w:val="32"/>
          <w:highlight w:val="none"/>
          <w:lang w:eastAsia="zh-CN"/>
        </w:rPr>
        <w:t>外事办</w:t>
      </w:r>
      <w:r>
        <w:rPr>
          <w:rFonts w:hint="eastAsia" w:ascii="仿宋_GB2312" w:hAnsi="仿宋_GB2312" w:eastAsia="仿宋_GB2312" w:cs="仿宋_GB2312"/>
          <w:b w:val="0"/>
          <w:bCs/>
          <w:sz w:val="32"/>
          <w:szCs w:val="32"/>
          <w:highlight w:val="none"/>
        </w:rPr>
        <w:t>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eastAsia="仿宋_GB2312" w:cs="仿宋_GB2312"/>
          <w:b w:val="0"/>
          <w:bCs/>
          <w:sz w:val="32"/>
          <w:szCs w:val="32"/>
          <w:highlight w:val="none"/>
        </w:rPr>
        <w:t>年安排因公出国（境）费</w:t>
      </w:r>
      <w:r>
        <w:rPr>
          <w:rFonts w:hint="eastAsia" w:ascii="仿宋_GB2312" w:hAnsi="仿宋_GB2312" w:eastAsia="仿宋_GB2312" w:cs="仿宋_GB2312"/>
          <w:b w:val="0"/>
          <w:bCs/>
          <w:sz w:val="32"/>
          <w:szCs w:val="32"/>
          <w:highlight w:val="none"/>
          <w:lang w:eastAsia="zh-CN"/>
        </w:rPr>
        <w:t>用预算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无增减变化。</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无增减变化。</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bCs w:val="0"/>
          <w:sz w:val="32"/>
          <w:szCs w:val="32"/>
          <w:highlight w:val="none"/>
          <w:u w:val="single"/>
          <w:lang w:eastAsia="zh-CN"/>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%。其中，公务用车购置支出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万元（含购置税等附加费用），主要用于经批准购置的</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辆公务用车；公务用车运行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主要用于机要通信和应急公务用车经费</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lang w:val="en-US" w:eastAsia="zh-CN"/>
        </w:rPr>
        <w:t>万元，</w:t>
      </w:r>
      <w:r>
        <w:rPr>
          <w:rFonts w:hint="eastAsia" w:ascii="仿宋_GB2312" w:hAnsi="仿宋_GB2312" w:eastAsia="仿宋_GB2312" w:cs="仿宋_GB2312"/>
          <w:b w:val="0"/>
          <w:bCs/>
          <w:sz w:val="32"/>
          <w:szCs w:val="32"/>
          <w:highlight w:val="none"/>
        </w:rPr>
        <w:t>所需的公务用车燃料费、维修费、过桥过路费、保险费</w:t>
      </w:r>
      <w:r>
        <w:rPr>
          <w:rFonts w:hint="eastAsia" w:ascii="仿宋_GB2312" w:hAnsi="仿宋_GB2312" w:eastAsia="仿宋_GB2312" w:cs="仿宋_GB2312"/>
          <w:b w:val="0"/>
          <w:bCs/>
          <w:sz w:val="32"/>
          <w:szCs w:val="32"/>
          <w:highlight w:val="none"/>
          <w:lang w:eastAsia="zh-CN"/>
        </w:rPr>
        <w:t>、安全奖励费用等</w:t>
      </w:r>
      <w:r>
        <w:rPr>
          <w:rFonts w:hint="eastAsia" w:ascii="仿宋_GB2312" w:hAnsi="仿宋_GB2312" w:eastAsia="仿宋_GB2312" w:cs="仿宋_GB2312"/>
          <w:b w:val="0"/>
          <w:bCs/>
          <w:sz w:val="32"/>
          <w:szCs w:val="32"/>
          <w:highlight w:val="none"/>
        </w:rPr>
        <w:t>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lang w:val="en-US" w:eastAsia="zh-CN"/>
        </w:rPr>
        <w:t>万元</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无增减变化。</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九</w:t>
      </w:r>
      <w:r>
        <w:rPr>
          <w:rFonts w:hint="eastAsia" w:ascii="楷体_GB2312" w:hAnsi="楷体_GB2312" w:eastAsia="楷体_GB2312" w:cs="楷体_GB2312"/>
          <w:b/>
          <w:bCs w:val="0"/>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00"/>
        <w:textAlignment w:val="auto"/>
        <w:outlineLvl w:val="9"/>
        <w:rPr>
          <w:rFonts w:hint="eastAsia" w:ascii="仿宋_GB2312" w:hAnsi="仿宋_GB2312" w:eastAsia="仿宋_GB2312" w:cs="仿宋_GB2312"/>
          <w:b/>
          <w:bCs w:val="0"/>
          <w:sz w:val="32"/>
          <w:szCs w:val="32"/>
          <w:highlight w:val="none"/>
          <w:u w:val="single"/>
          <w:lang w:eastAsia="zh-CN"/>
        </w:rPr>
      </w:pPr>
      <w:r>
        <w:rPr>
          <w:rFonts w:hint="eastAsia" w:ascii="仿宋_GB2312" w:hAnsi="仿宋_GB2312" w:eastAsia="仿宋_GB2312" w:cs="仿宋_GB2312"/>
          <w:b/>
          <w:bCs w:val="0"/>
          <w:sz w:val="32"/>
          <w:szCs w:val="32"/>
          <w:highlight w:val="none"/>
          <w:u w:val="none"/>
          <w:lang w:val="en-US" w:eastAsia="zh-CN"/>
        </w:rPr>
        <w:t>1.</w:t>
      </w:r>
      <w:r>
        <w:rPr>
          <w:rFonts w:hint="eastAsia" w:ascii="仿宋_GB2312" w:hAnsi="仿宋_GB2312" w:eastAsia="仿宋_GB2312" w:cs="仿宋_GB2312"/>
          <w:b/>
          <w:bCs w:val="0"/>
          <w:sz w:val="32"/>
          <w:szCs w:val="32"/>
          <w:highlight w:val="none"/>
          <w:u w:val="none"/>
          <w:lang w:eastAsia="zh-CN"/>
        </w:rPr>
        <w:t>机关运行经费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sz w:val="32"/>
          <w:szCs w:val="32"/>
          <w:highlight w:val="none"/>
          <w:u w:val="none"/>
          <w:lang w:val="en-US" w:eastAsia="zh-CN"/>
        </w:rPr>
        <w:t>兰溪市青少年宫为非参公单位，</w:t>
      </w:r>
      <w:r>
        <w:rPr>
          <w:rFonts w:hint="eastAsia" w:ascii="仿宋_GB2312" w:hAnsi="仿宋_GB2312" w:eastAsia="仿宋_GB2312" w:cs="仿宋_GB2312"/>
          <w:b w:val="0"/>
          <w:bCs/>
          <w:color w:val="000000"/>
          <w:sz w:val="32"/>
          <w:szCs w:val="32"/>
          <w:highlight w:val="none"/>
          <w:lang w:val="en-US" w:eastAsia="zh-CN"/>
        </w:rPr>
        <w:t xml:space="preserve"> 2021年没有</w:t>
      </w:r>
      <w:r>
        <w:rPr>
          <w:rFonts w:hint="eastAsia" w:ascii="仿宋_GB2312" w:hAnsi="仿宋_GB2312" w:eastAsia="仿宋_GB2312" w:cs="仿宋_GB2312"/>
          <w:b w:val="0"/>
          <w:bCs/>
          <w:color w:val="000000"/>
          <w:sz w:val="32"/>
          <w:szCs w:val="32"/>
          <w:highlight w:val="none"/>
          <w:lang w:eastAsia="zh-CN"/>
        </w:rPr>
        <w:t>机关运行经费财政拨款预算</w:t>
      </w:r>
      <w:r>
        <w:rPr>
          <w:rFonts w:hint="eastAsia" w:ascii="仿宋_GB2312" w:hAnsi="仿宋_GB2312" w:eastAsia="仿宋_GB2312" w:cs="仿宋_GB2312"/>
          <w:b w:val="0"/>
          <w:bCs/>
          <w:color w:val="000000"/>
          <w:sz w:val="32"/>
          <w:szCs w:val="32"/>
          <w:highlight w:val="none"/>
          <w:lang w:val="en-US" w:eastAsia="zh-CN"/>
        </w:rPr>
        <w:t>安排。</w:t>
      </w:r>
    </w:p>
    <w:p>
      <w:pPr>
        <w:pStyle w:val="9"/>
        <w:keepNext w:val="0"/>
        <w:keepLines w:val="0"/>
        <w:pageBreakBefore w:val="0"/>
        <w:numPr>
          <w:ilvl w:val="0"/>
          <w:numId w:val="2"/>
        </w:numPr>
        <w:kinsoku/>
        <w:wordWrap/>
        <w:overflowPunct/>
        <w:topLinePunct w:val="0"/>
        <w:autoSpaceDE/>
        <w:autoSpaceDN/>
        <w:bidi w:val="0"/>
        <w:adjustRightInd/>
        <w:snapToGrid/>
        <w:spacing w:line="560" w:lineRule="exact"/>
        <w:ind w:right="0" w:rightChars="0" w:firstLine="60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政府采购情况</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u w:val="none"/>
          <w:lang w:eastAsia="zh-CN"/>
        </w:rPr>
      </w:pPr>
      <w:r>
        <w:rPr>
          <w:rFonts w:hint="eastAsia" w:ascii="仿宋_GB2312" w:hAnsi="仿宋_GB2312" w:eastAsia="仿宋_GB2312" w:cs="仿宋_GB2312"/>
          <w:b w:val="0"/>
          <w:bCs/>
          <w:sz w:val="32"/>
          <w:szCs w:val="32"/>
          <w:highlight w:val="none"/>
          <w:u w:val="none"/>
          <w:lang w:val="en-US" w:eastAsia="zh-CN"/>
        </w:rPr>
        <w:t>2021年</w:t>
      </w:r>
      <w:r>
        <w:rPr>
          <w:rFonts w:hint="eastAsia" w:ascii="仿宋_GB2312" w:hAnsi="仿宋_GB2312" w:eastAsia="仿宋_GB2312" w:cs="仿宋_GB2312"/>
          <w:b w:val="0"/>
          <w:bCs/>
          <w:color w:val="000000"/>
          <w:sz w:val="32"/>
          <w:szCs w:val="32"/>
          <w:highlight w:val="none"/>
          <w:lang w:eastAsia="zh-CN"/>
        </w:rPr>
        <w:t>兰溪市青少年宫政府采购预算总额</w:t>
      </w:r>
      <w:r>
        <w:rPr>
          <w:rFonts w:hint="eastAsia" w:ascii="仿宋_GB2312" w:hAnsi="仿宋_GB2312" w:eastAsia="仿宋_GB2312" w:cs="仿宋_GB2312"/>
          <w:b w:val="0"/>
          <w:bCs/>
          <w:color w:val="000000"/>
          <w:sz w:val="32"/>
          <w:szCs w:val="32"/>
          <w:highlight w:val="none"/>
          <w:lang w:val="en-US" w:eastAsia="zh-CN"/>
        </w:rPr>
        <w:t>1.5万元，其中：政府采购货物预算1.5万元、政府采购工程预算0万元、政府采购服务预算0万元。</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3.国有资产占有使用情况    </w:t>
      </w:r>
    </w:p>
    <w:p>
      <w:pPr>
        <w:keepNext w:val="0"/>
        <w:keepLines w:val="0"/>
        <w:pageBreakBefore w:val="0"/>
        <w:kinsoku/>
        <w:wordWrap/>
        <w:overflowPunct/>
        <w:topLinePunct w:val="0"/>
        <w:bidi w:val="0"/>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color w:val="000000"/>
          <w:sz w:val="32"/>
          <w:szCs w:val="32"/>
          <w:highlight w:val="none"/>
          <w:u w:val="none"/>
          <w:lang w:val="en-US" w:eastAsia="zh-CN"/>
        </w:rPr>
        <w:t>截至2020年12月31日，</w:t>
      </w:r>
      <w:r>
        <w:rPr>
          <w:rFonts w:hint="eastAsia" w:ascii="仿宋_GB2312" w:hAnsi="仿宋_GB2312" w:eastAsia="仿宋_GB2312" w:cs="仿宋_GB2312"/>
          <w:b w:val="0"/>
          <w:bCs/>
          <w:color w:val="000000"/>
          <w:sz w:val="32"/>
          <w:szCs w:val="32"/>
          <w:highlight w:val="none"/>
          <w:lang w:eastAsia="zh-CN"/>
        </w:rPr>
        <w:t>兰溪市青少年宫共有车辆</w:t>
      </w:r>
      <w:r>
        <w:rPr>
          <w:rFonts w:hint="eastAsia" w:ascii="仿宋_GB2312" w:hAnsi="仿宋_GB2312" w:eastAsia="仿宋_GB2312" w:cs="仿宋_GB2312"/>
          <w:b w:val="0"/>
          <w:bCs/>
          <w:color w:val="000000"/>
          <w:sz w:val="32"/>
          <w:szCs w:val="32"/>
          <w:highlight w:val="none"/>
          <w:lang w:val="en-US" w:eastAsia="zh-CN"/>
        </w:rPr>
        <w:t>0辆，其中，领导用车0辆、应急机要通信用车0辆、一般执法执勤用车0辆、行政执法专用车0辆、特种专业技术用车0辆、老干部服务用车0辆、其他用车0辆。</w:t>
      </w:r>
      <w:r>
        <w:rPr>
          <w:rFonts w:hint="eastAsia" w:ascii="仿宋_GB2312" w:hAnsi="仿宋_GB2312" w:eastAsia="仿宋_GB2312" w:cs="仿宋_GB2312"/>
          <w:color w:val="auto"/>
          <w:sz w:val="32"/>
          <w:szCs w:val="32"/>
          <w:highlight w:val="none"/>
          <w:lang w:val="en-US" w:eastAsia="zh-CN"/>
        </w:rPr>
        <w:t>单位价值50万元以上通用设备</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台（套），单位价值100万元以上专用设备</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 xml:space="preserve">台（套）。 </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u w:val="none"/>
        </w:rPr>
      </w:pPr>
      <w:r>
        <w:rPr>
          <w:rFonts w:hint="eastAsia" w:ascii="仿宋_GB2312" w:hAnsi="仿宋_GB2312" w:eastAsia="仿宋_GB2312" w:cs="仿宋_GB2312"/>
          <w:b w:val="0"/>
          <w:bCs/>
          <w:color w:val="000000"/>
          <w:sz w:val="32"/>
          <w:szCs w:val="32"/>
          <w:highlight w:val="none"/>
          <w:lang w:val="en-US" w:eastAsia="zh-CN"/>
        </w:rPr>
        <w:t>2021年单位预算未安排购置</w:t>
      </w:r>
      <w:r>
        <w:rPr>
          <w:rFonts w:hint="eastAsia" w:ascii="仿宋_GB2312" w:hAnsi="仿宋_GB2312" w:eastAsia="仿宋_GB2312" w:cs="仿宋_GB2312"/>
          <w:color w:val="auto"/>
          <w:sz w:val="32"/>
          <w:szCs w:val="32"/>
          <w:highlight w:val="none"/>
          <w:lang w:val="en-US" w:eastAsia="zh-CN"/>
        </w:rPr>
        <w:t>车辆、单位价值50万元以上通用设备及单位价值100万元以上专用设备</w:t>
      </w:r>
      <w:r>
        <w:rPr>
          <w:rFonts w:hint="eastAsia" w:ascii="仿宋_GB2312" w:hAnsi="仿宋_GB2312" w:eastAsia="仿宋_GB2312" w:cs="仿宋_GB2312"/>
          <w:b w:val="0"/>
          <w:bCs/>
          <w:color w:val="000000"/>
          <w:sz w:val="32"/>
          <w:szCs w:val="32"/>
          <w:highlight w:val="none"/>
          <w:lang w:val="en-US" w:eastAsia="zh-CN"/>
        </w:rPr>
        <w:t>。</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val="0"/>
          <w:bCs/>
          <w:sz w:val="32"/>
          <w:szCs w:val="32"/>
          <w:highlight w:val="none"/>
          <w:u w:val="none"/>
        </w:rPr>
      </w:pPr>
      <w:r>
        <w:rPr>
          <w:rFonts w:hint="eastAsia" w:ascii="仿宋_GB2312" w:hAnsi="仿宋_GB2312" w:eastAsia="仿宋_GB2312" w:cs="仿宋_GB2312"/>
          <w:b w:val="0"/>
          <w:bCs/>
          <w:sz w:val="32"/>
          <w:szCs w:val="32"/>
          <w:highlight w:val="none"/>
          <w:u w:val="none"/>
          <w:lang w:val="en-US" w:eastAsia="zh-CN"/>
        </w:rPr>
        <w:t xml:space="preserve">    2021年</w:t>
      </w:r>
      <w:r>
        <w:rPr>
          <w:rFonts w:hint="eastAsia" w:ascii="仿宋_GB2312" w:hAnsi="仿宋_GB2312" w:eastAsia="仿宋_GB2312" w:cs="仿宋_GB2312"/>
          <w:b w:val="0"/>
          <w:bCs/>
          <w:color w:val="000000"/>
          <w:sz w:val="32"/>
          <w:szCs w:val="32"/>
          <w:highlight w:val="none"/>
          <w:lang w:eastAsia="zh-CN"/>
        </w:rPr>
        <w:t>兰溪市青少年宫其他运转类和特定目标类项目均实行绩效目标管理，涉及一般公共预算当年拨款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21.4万元。</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7"/>
          <w:rFonts w:hint="eastAsia" w:ascii="黑体" w:hAnsi="黑体" w:eastAsia="黑体" w:cs="黑体"/>
          <w:b/>
          <w:bCs w:val="0"/>
          <w:sz w:val="32"/>
          <w:szCs w:val="32"/>
          <w:highlight w:val="none"/>
        </w:rPr>
      </w:pPr>
      <w:r>
        <w:rPr>
          <w:rStyle w:val="7"/>
          <w:rFonts w:hint="eastAsia" w:ascii="黑体" w:hAnsi="黑体" w:eastAsia="黑体" w:cs="黑体"/>
          <w:b/>
          <w:bCs w:val="0"/>
          <w:sz w:val="32"/>
          <w:szCs w:val="32"/>
          <w:highlight w:val="none"/>
        </w:rPr>
        <w:t>三、名词解释</w:t>
      </w:r>
    </w:p>
    <w:p>
      <w:pPr>
        <w:pStyle w:val="9"/>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1.财政拨款收入：</w:t>
      </w:r>
      <w:r>
        <w:rPr>
          <w:rFonts w:hint="eastAsia" w:ascii="仿宋_GB2312" w:hAnsi="仿宋_GB2312" w:eastAsia="仿宋_GB2312" w:cs="仿宋_GB2312"/>
          <w:b w:val="0"/>
          <w:bCs/>
          <w:sz w:val="32"/>
          <w:szCs w:val="32"/>
          <w:highlight w:val="none"/>
        </w:rPr>
        <w:t>本级财政部门当年拨付的财政预算资金，包括一般公共预算财政拨款和政府性基金预算财政拨款。</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color w:val="000000"/>
          <w:sz w:val="32"/>
          <w:szCs w:val="32"/>
          <w:u w:val="none"/>
        </w:rPr>
        <w:t>专户资金：教育收费作为本部门的事业收入，纳入财政专户管理的资金。</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b w:val="0"/>
          <w:bCs/>
          <w:color w:val="000000"/>
          <w:sz w:val="32"/>
          <w:szCs w:val="32"/>
          <w:highlight w:val="none"/>
          <w:lang w:val="en-US" w:eastAsia="zh-CN"/>
        </w:rPr>
        <w:t>3</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color w:val="000000"/>
          <w:sz w:val="32"/>
          <w:szCs w:val="32"/>
          <w:u w:val="none"/>
        </w:rPr>
        <w:t>事业收入（不含专户资金）：事业单位开展专业业务活动及辅助活动取得的收入，不含教育收费。</w:t>
      </w:r>
    </w:p>
    <w:p>
      <w:pPr>
        <w:pStyle w:val="9"/>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color w:val="000000"/>
          <w:sz w:val="32"/>
          <w:szCs w:val="32"/>
          <w:highlight w:val="none"/>
          <w:lang w:val="en-US" w:eastAsia="zh-CN"/>
        </w:rPr>
        <w:t>4</w:t>
      </w:r>
      <w:r>
        <w:rPr>
          <w:rFonts w:hint="eastAsia" w:ascii="仿宋_GB2312" w:hAnsi="仿宋_GB2312" w:eastAsia="仿宋_GB2312" w:cs="仿宋_GB2312"/>
          <w:b w:val="0"/>
          <w:bCs/>
          <w:color w:val="000000"/>
          <w:sz w:val="32"/>
          <w:szCs w:val="32"/>
          <w:highlight w:val="none"/>
        </w:rPr>
        <w:t>.事业单位经营收入：</w:t>
      </w:r>
      <w:r>
        <w:rPr>
          <w:rFonts w:hint="eastAsia" w:ascii="仿宋_GB2312" w:hAnsi="仿宋_GB2312" w:eastAsia="仿宋_GB2312" w:cs="仿宋_GB2312"/>
          <w:b w:val="0"/>
          <w:bCs/>
          <w:sz w:val="32"/>
          <w:szCs w:val="32"/>
          <w:highlight w:val="none"/>
        </w:rPr>
        <w:t>事业单位在专业业务活动及辅助活动之外开展非独立核算经营活动取得的收入。</w:t>
      </w:r>
    </w:p>
    <w:p>
      <w:pPr>
        <w:pStyle w:val="9"/>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5.</w:t>
      </w:r>
      <w:r>
        <w:rPr>
          <w:rFonts w:hint="eastAsia" w:ascii="仿宋_GB2312" w:hAnsi="仿宋_GB2312" w:eastAsia="仿宋_GB2312" w:cs="仿宋_GB2312"/>
          <w:b w:val="0"/>
          <w:bCs/>
          <w:color w:val="000000"/>
          <w:sz w:val="32"/>
          <w:szCs w:val="32"/>
          <w:highlight w:val="none"/>
        </w:rPr>
        <w:t>其他收入</w:t>
      </w:r>
      <w:r>
        <w:rPr>
          <w:rFonts w:hint="eastAsia" w:ascii="仿宋_GB2312" w:hAnsi="仿宋_GB2312" w:eastAsia="仿宋_GB2312" w:cs="仿宋_GB2312"/>
          <w:b w:val="0"/>
          <w:bCs/>
          <w:color w:val="000000"/>
          <w:sz w:val="32"/>
          <w:szCs w:val="32"/>
          <w:highlight w:val="none"/>
          <w:lang w:eastAsia="zh-CN"/>
        </w:rPr>
        <w:t>：预算单位在“一般公共预算”“政府性基金预算”“专户资金”“事业收入”“事业单位经营收入”等之外取得的各项收入（含上级补助收入和附属单位缴款等收入）。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ind w:firstLine="640"/>
        <w:jc w:val="left"/>
        <w:rPr>
          <w:rFonts w:eastAsia="仿宋_GB2312"/>
          <w:color w:val="000000"/>
          <w:kern w:val="0"/>
          <w:sz w:val="32"/>
          <w:szCs w:val="32"/>
        </w:rPr>
      </w:pPr>
      <w:r>
        <w:rPr>
          <w:rFonts w:hint="eastAsia" w:ascii="仿宋_GB2312" w:hAnsi="仿宋_GB2312" w:eastAsia="仿宋_GB2312" w:cs="仿宋_GB2312"/>
          <w:b w:val="0"/>
          <w:bCs/>
          <w:color w:val="000000"/>
          <w:sz w:val="32"/>
          <w:szCs w:val="32"/>
          <w:highlight w:val="none"/>
          <w:lang w:val="en-US" w:eastAsia="zh-CN"/>
        </w:rPr>
        <w:t>13</w:t>
      </w:r>
      <w:r>
        <w:rPr>
          <w:rFonts w:hint="eastAsia" w:ascii="仿宋_GB2312" w:hAnsi="仿宋_GB2312" w:eastAsia="仿宋_GB2312" w:cs="仿宋_GB2312"/>
          <w:b w:val="0"/>
          <w:bCs/>
          <w:color w:val="000000"/>
          <w:sz w:val="32"/>
          <w:szCs w:val="32"/>
          <w:highlight w:val="none"/>
        </w:rPr>
        <w:t>.</w:t>
      </w:r>
      <w:r>
        <w:rPr>
          <w:rFonts w:eastAsia="仿宋_GB2312"/>
          <w:color w:val="000000"/>
          <w:kern w:val="0"/>
          <w:sz w:val="32"/>
          <w:szCs w:val="32"/>
        </w:rPr>
        <w:t>教育支出（类）普通教育（款）其他普通教育支出（项）：指反映除学前教育、义务教育、高中教育、高等教育以外的其他用于普通教育方面的支出。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14</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rPr>
        <w:t>（类）</w:t>
      </w:r>
      <w:r>
        <w:rPr>
          <w:rFonts w:hint="eastAsia" w:ascii="仿宋_GB2312" w:hAnsi="仿宋_GB2312" w:eastAsia="仿宋_GB2312" w:cs="仿宋_GB2312"/>
          <w:b w:val="0"/>
          <w:bCs/>
          <w:color w:val="000000"/>
          <w:sz w:val="32"/>
          <w:szCs w:val="32"/>
          <w:highlight w:val="none"/>
          <w:lang w:eastAsia="zh-CN"/>
        </w:rPr>
        <w:t>行政事业单位医疗</w:t>
      </w:r>
      <w:r>
        <w:rPr>
          <w:rFonts w:hint="eastAsia" w:ascii="仿宋_GB2312" w:hAnsi="仿宋_GB2312" w:eastAsia="仿宋_GB2312" w:cs="仿宋_GB2312"/>
          <w:b w:val="0"/>
          <w:bCs/>
          <w:color w:val="000000"/>
          <w:sz w:val="32"/>
          <w:szCs w:val="32"/>
          <w:highlight w:val="none"/>
        </w:rPr>
        <w:t>（款）</w:t>
      </w:r>
      <w:r>
        <w:rPr>
          <w:rFonts w:hint="eastAsia" w:ascii="仿宋_GB2312" w:hAnsi="仿宋_GB2312" w:eastAsia="仿宋_GB2312" w:cs="仿宋_GB2312"/>
          <w:b w:val="0"/>
          <w:bCs/>
          <w:color w:val="000000"/>
          <w:sz w:val="32"/>
          <w:szCs w:val="32"/>
          <w:highlight w:val="none"/>
          <w:lang w:eastAsia="zh-CN"/>
        </w:rPr>
        <w:t>事业单位医疗</w:t>
      </w:r>
      <w:r>
        <w:rPr>
          <w:rFonts w:hint="eastAsia" w:ascii="仿宋_GB2312" w:hAnsi="仿宋_GB2312" w:eastAsia="仿宋_GB2312" w:cs="仿宋_GB2312"/>
          <w:b w:val="0"/>
          <w:bCs/>
          <w:color w:val="000000"/>
          <w:sz w:val="32"/>
          <w:szCs w:val="32"/>
          <w:highlight w:val="none"/>
        </w:rPr>
        <w:t>（项）：</w:t>
      </w:r>
      <w:r>
        <w:rPr>
          <w:rFonts w:hint="eastAsia" w:ascii="仿宋_GB2312" w:hAnsi="仿宋_GB2312" w:eastAsia="仿宋_GB2312" w:cs="仿宋_GB2312"/>
          <w:b w:val="0"/>
          <w:bCs/>
          <w:color w:val="000000"/>
          <w:sz w:val="32"/>
          <w:szCs w:val="32"/>
          <w:highlight w:val="none"/>
          <w:lang w:val="en-US" w:eastAsia="zh-CN"/>
        </w:rPr>
        <w:t>指事业单位用于缴纳单位基本医疗保险的支出。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p>
    <w:sectPr>
      <w:footerReference r:id="rId3" w:type="default"/>
      <w:footerReference r:id="rId4" w:type="even"/>
      <w:pgSz w:w="11906" w:h="16838"/>
      <w:pgMar w:top="1587" w:right="1701" w:bottom="1587" w:left="1701"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000F9"/>
    <w:rsid w:val="0F090346"/>
    <w:rsid w:val="0F850927"/>
    <w:rsid w:val="166F089D"/>
    <w:rsid w:val="17F0027F"/>
    <w:rsid w:val="1B2D639D"/>
    <w:rsid w:val="23E301C7"/>
    <w:rsid w:val="39012557"/>
    <w:rsid w:val="40B579F9"/>
    <w:rsid w:val="486258C3"/>
    <w:rsid w:val="552F58A0"/>
    <w:rsid w:val="55AE4F06"/>
    <w:rsid w:val="56731EF5"/>
    <w:rsid w:val="56BF558D"/>
    <w:rsid w:val="571E78A7"/>
    <w:rsid w:val="577679D4"/>
    <w:rsid w:val="5A2368E3"/>
    <w:rsid w:val="6D4038F8"/>
    <w:rsid w:val="70784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5">
    <w:name w:val="Default Paragraph Font"/>
    <w:link w:val="6"/>
    <w:semiHidden/>
    <w:uiPriority w:val="0"/>
    <w:rPr>
      <w:szCs w:val="24"/>
    </w:rPr>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 Char"/>
    <w:basedOn w:val="1"/>
    <w:link w:val="5"/>
    <w:qFormat/>
    <w:uiPriority w:val="0"/>
    <w:rPr>
      <w:szCs w:val="24"/>
    </w:rPr>
  </w:style>
  <w:style w:type="character" w:styleId="7">
    <w:name w:val="Strong"/>
    <w:basedOn w:val="5"/>
    <w:qFormat/>
    <w:uiPriority w:val="0"/>
    <w:rPr>
      <w:b/>
      <w:bCs/>
    </w:rPr>
  </w:style>
  <w:style w:type="character" w:styleId="8">
    <w:name w:val="page number"/>
    <w:basedOn w:val="5"/>
    <w:qFormat/>
    <w:uiPriority w:val="0"/>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2021-03-04T07:44:00Z</dcterms:created>
  <dc:creator>Administrator</dc:creator>
  <cp:lastModifiedBy>Administrator</cp:lastModifiedBy>
  <dcterms:modified xsi:type="dcterms:W3CDTF">2021-03-10T01:58:41Z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