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兰溪市公安局交通警察大队</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val="en-US" w:eastAsia="zh-CN"/>
        </w:rPr>
        <w:t>单位</w:t>
      </w:r>
      <w:bookmarkStart w:id="0" w:name="_GoBack"/>
      <w:bookmarkEnd w:id="0"/>
      <w:r>
        <w:rPr>
          <w:rFonts w:hint="eastAsia" w:ascii="方正小标宋简体" w:hAnsi="方正小标宋简体" w:eastAsia="方正小标宋简体" w:cs="方正小标宋简体"/>
          <w:b/>
          <w:bCs w:val="0"/>
          <w:spacing w:val="15"/>
          <w:sz w:val="44"/>
          <w:szCs w:val="44"/>
          <w:highlight w:val="none"/>
        </w:rPr>
        <w:t>预算</w:t>
      </w: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兰溪市公安局交通警察大队</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年兰溪市公安局交通警察大队预算安排情况说明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兰溪市公安局交通警察大队部门预算表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预算财政拨款重点项目支出预算表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10"/>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val="en-US" w:eastAsia="zh-CN"/>
        </w:rPr>
        <w:t>兰溪市公安局交通警察大队</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10"/>
        <w:rPr>
          <w:rFonts w:hint="eastAsia"/>
          <w:bCs/>
          <w:sz w:val="32"/>
          <w:szCs w:val="32"/>
          <w:highlight w:val="none"/>
          <w:lang w:eastAsia="zh-CN"/>
        </w:rPr>
      </w:pPr>
      <w:r>
        <w:rPr>
          <w:rFonts w:hint="eastAsia"/>
          <w:bCs/>
          <w:sz w:val="32"/>
          <w:szCs w:val="32"/>
          <w:highlight w:val="none"/>
          <w:lang w:eastAsia="zh-CN"/>
        </w:rPr>
        <w:t>1、负责对道路交通管理工作进行指导和规划，对道路交通事故责任重新认定，对伤残程度进行重新评定、对车辆损失的程度进行重新鉴定；</w:t>
      </w:r>
    </w:p>
    <w:p>
      <w:pPr>
        <w:pStyle w:val="10"/>
        <w:rPr>
          <w:rFonts w:hint="eastAsia"/>
          <w:bCs/>
          <w:sz w:val="32"/>
          <w:szCs w:val="32"/>
          <w:highlight w:val="none"/>
          <w:lang w:eastAsia="zh-CN"/>
        </w:rPr>
      </w:pPr>
      <w:r>
        <w:rPr>
          <w:rFonts w:hint="eastAsia"/>
          <w:bCs/>
          <w:sz w:val="32"/>
          <w:szCs w:val="32"/>
          <w:highlight w:val="none"/>
          <w:lang w:eastAsia="zh-CN"/>
        </w:rPr>
        <w:t>2、负责机动车安全技术检验、注册登记、核发牌证、转籍、过户、转出、转入等；</w:t>
      </w:r>
    </w:p>
    <w:p>
      <w:pPr>
        <w:pStyle w:val="10"/>
        <w:rPr>
          <w:rFonts w:hint="eastAsia"/>
          <w:bCs/>
          <w:sz w:val="32"/>
          <w:szCs w:val="32"/>
          <w:highlight w:val="none"/>
          <w:lang w:eastAsia="zh-CN"/>
        </w:rPr>
      </w:pPr>
      <w:r>
        <w:rPr>
          <w:rFonts w:hint="eastAsia"/>
          <w:bCs/>
          <w:sz w:val="32"/>
          <w:szCs w:val="32"/>
          <w:highlight w:val="none"/>
          <w:lang w:eastAsia="zh-CN"/>
        </w:rPr>
        <w:t>3、负责机动车驾驶证的核发、补发，并负责机动车驾驶员科目一的考试；</w:t>
      </w:r>
    </w:p>
    <w:p>
      <w:pPr>
        <w:pStyle w:val="10"/>
        <w:rPr>
          <w:rFonts w:hint="eastAsia"/>
          <w:bCs/>
          <w:sz w:val="32"/>
          <w:szCs w:val="32"/>
          <w:highlight w:val="none"/>
          <w:lang w:eastAsia="zh-CN"/>
        </w:rPr>
      </w:pPr>
      <w:r>
        <w:rPr>
          <w:rFonts w:hint="eastAsia"/>
          <w:bCs/>
          <w:sz w:val="32"/>
          <w:szCs w:val="32"/>
          <w:highlight w:val="none"/>
          <w:lang w:eastAsia="zh-CN"/>
        </w:rPr>
        <w:t>4、面向社会，面向群众开展交通法律、法规、交通安全宣传；</w:t>
      </w:r>
    </w:p>
    <w:p>
      <w:pPr>
        <w:pStyle w:val="10"/>
        <w:rPr>
          <w:rFonts w:hint="eastAsia"/>
          <w:bCs/>
          <w:sz w:val="32"/>
          <w:szCs w:val="32"/>
          <w:highlight w:val="none"/>
          <w:lang w:eastAsia="zh-CN"/>
        </w:rPr>
      </w:pPr>
      <w:r>
        <w:rPr>
          <w:rFonts w:hint="eastAsia"/>
          <w:bCs/>
          <w:sz w:val="32"/>
          <w:szCs w:val="32"/>
          <w:highlight w:val="none"/>
          <w:lang w:eastAsia="zh-CN"/>
        </w:rPr>
        <w:t>5、负责交警部门科技项目的开发、科技设施的管理、维护工作；</w:t>
      </w:r>
    </w:p>
    <w:p>
      <w:pPr>
        <w:pStyle w:val="10"/>
        <w:rPr>
          <w:rFonts w:hint="eastAsia"/>
          <w:bCs/>
          <w:sz w:val="32"/>
          <w:szCs w:val="32"/>
          <w:highlight w:val="none"/>
          <w:lang w:eastAsia="zh-CN"/>
        </w:rPr>
      </w:pPr>
      <w:r>
        <w:rPr>
          <w:rFonts w:hint="eastAsia"/>
          <w:bCs/>
          <w:sz w:val="32"/>
          <w:szCs w:val="32"/>
          <w:highlight w:val="none"/>
          <w:lang w:eastAsia="zh-CN"/>
        </w:rPr>
        <w:t>6、负责道路的巡逻，纠正交通违章，维护交通秩序，处理突发事件，配合开展警卫工作。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兰溪市公安局交通警察大队机构设置情况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从预算单位构成看，</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兰溪市公安局交通警察大队</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部门预算包括：兰溪市公安局交通警察大队预算。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Style w:val="7"/>
          <w:rFonts w:hint="eastAsia" w:ascii="楷体_GB2312" w:hAnsi="楷体_GB2312" w:eastAsia="楷体_GB2312" w:cs="楷体_GB2312"/>
          <w:b/>
          <w:bCs w:val="0"/>
          <w:color w:val="000000"/>
          <w:sz w:val="32"/>
          <w:szCs w:val="32"/>
          <w:highlight w:val="none"/>
          <w:lang w:eastAsia="zh-CN"/>
        </w:rPr>
        <w:t>兰溪市公安局交通警察大队</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（一）关于兰溪市公安局交通警察大队2022年收支预算情况的总体说明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按照综合预算的原则，兰溪市公安局交通警察大队所有收入和支出均纳入部门预算管理。收入包括：一般公共预算拨款收入；支出按功能科目分包括：行政运行、一般行政管理实务、执法办案、其他公安支出、行政单位医疗。兰溪市公安局交通警察大队2022年收支总预算5173.61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w:t>
      </w:r>
      <w:r>
        <w:rPr>
          <w:rFonts w:hint="eastAsia" w:ascii="仿宋_GB2312" w:hAnsi="仿宋_GB2312" w:eastAsia="仿宋_GB2312" w:cs="仿宋_GB2312"/>
          <w:color w:val="000000"/>
          <w:sz w:val="32"/>
          <w:szCs w:val="32"/>
          <w:highlight w:val="none"/>
          <w:lang w:val="en-US" w:eastAsia="zh-CN"/>
        </w:rPr>
        <w:t>执行数增加49.76万元，</w:t>
      </w:r>
      <w:r>
        <w:rPr>
          <w:rFonts w:hint="eastAsia" w:ascii="仿宋_GB2312" w:hAnsi="仿宋_GB2312" w:eastAsia="仿宋_GB2312" w:cs="仿宋_GB2312"/>
          <w:color w:val="000000"/>
          <w:sz w:val="32"/>
          <w:highlight w:val="none"/>
          <w:lang w:val="en-US" w:eastAsia="zh-CN"/>
        </w:rPr>
        <w:t>增长</w:t>
      </w:r>
      <w:r>
        <w:rPr>
          <w:rFonts w:hint="eastAsia" w:ascii="仿宋_GB2312" w:hAnsi="仿宋_GB2312" w:eastAsia="仿宋_GB2312" w:cs="仿宋_GB2312"/>
          <w:color w:val="000000"/>
          <w:sz w:val="32"/>
          <w:szCs w:val="32"/>
          <w:highlight w:val="none"/>
          <w:lang w:val="en-US" w:eastAsia="zh-CN"/>
        </w:rPr>
        <w:t>9.73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主要是人员工资增长和省补经费的增加。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sz w:val="32"/>
          <w:szCs w:val="32"/>
          <w:highlight w:val="none"/>
          <w:lang w:eastAsia="zh-CN"/>
        </w:rPr>
        <w:t>万元，其中：一般公共预算拨款收入</w:t>
      </w:r>
      <w:r>
        <w:rPr>
          <w:rFonts w:hint="eastAsia" w:ascii="仿宋_GB2312" w:hAnsi="仿宋_GB2312" w:eastAsia="仿宋_GB2312" w:cs="仿宋_GB2312"/>
          <w:b w:val="0"/>
          <w:bCs/>
          <w:color w:val="000000"/>
          <w:sz w:val="32"/>
          <w:szCs w:val="32"/>
          <w:highlight w:val="none"/>
          <w:lang w:val="en-US" w:eastAsia="zh-CN"/>
        </w:rPr>
        <w:t>5173.61</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lang w:eastAsia="zh-CN"/>
        </w:rPr>
        <w:t>%。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kern w:val="0"/>
          <w:sz w:val="32"/>
          <w:szCs w:val="32"/>
          <w:highlight w:val="none"/>
          <w:lang w:val="en-US"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1.按支出功能分类，包括公共安全支出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2.按支出用途分类，包括人员支出</w:t>
      </w:r>
      <w:r>
        <w:rPr>
          <w:rFonts w:hint="eastAsia" w:ascii="仿宋_GB2312" w:hAnsi="仿宋_GB2312" w:eastAsia="仿宋_GB2312" w:cs="仿宋_GB2312"/>
          <w:b w:val="0"/>
          <w:bCs/>
          <w:color w:val="000000"/>
          <w:kern w:val="0"/>
          <w:sz w:val="32"/>
          <w:szCs w:val="32"/>
          <w:highlight w:val="none"/>
          <w:lang w:val="en-US" w:eastAsia="zh-CN" w:bidi="ar-SA"/>
        </w:rPr>
        <w:t>2529.9</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48.90</w:t>
      </w:r>
      <w:r>
        <w:rPr>
          <w:rFonts w:hint="default" w:ascii="仿宋_GB2312" w:hAnsi="仿宋_GB2312" w:eastAsia="仿宋_GB2312" w:cs="仿宋_GB2312"/>
          <w:b w:val="0"/>
          <w:bCs/>
          <w:color w:val="000000"/>
          <w:kern w:val="0"/>
          <w:sz w:val="32"/>
          <w:szCs w:val="32"/>
          <w:highlight w:val="none"/>
          <w:lang w:val="en-US" w:eastAsia="zh-CN" w:bidi="ar-SA"/>
        </w:rPr>
        <w:t>%；日常公用支出</w:t>
      </w:r>
      <w:r>
        <w:rPr>
          <w:rFonts w:hint="eastAsia" w:ascii="仿宋_GB2312" w:hAnsi="仿宋_GB2312" w:eastAsia="仿宋_GB2312" w:cs="仿宋_GB2312"/>
          <w:b w:val="0"/>
          <w:bCs/>
          <w:color w:val="000000"/>
          <w:kern w:val="0"/>
          <w:sz w:val="32"/>
          <w:szCs w:val="32"/>
          <w:highlight w:val="none"/>
          <w:lang w:val="en-US" w:eastAsia="zh-CN" w:bidi="ar-SA"/>
        </w:rPr>
        <w:t>208.4</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4.03</w:t>
      </w:r>
      <w:r>
        <w:rPr>
          <w:rFonts w:hint="default" w:ascii="仿宋_GB2312" w:hAnsi="仿宋_GB2312" w:eastAsia="仿宋_GB2312" w:cs="仿宋_GB2312"/>
          <w:b w:val="0"/>
          <w:bCs/>
          <w:color w:val="000000"/>
          <w:kern w:val="0"/>
          <w:sz w:val="32"/>
          <w:szCs w:val="32"/>
          <w:highlight w:val="none"/>
          <w:lang w:val="en-US" w:eastAsia="zh-CN" w:bidi="ar-SA"/>
        </w:rPr>
        <w:t>%；项目支出</w:t>
      </w:r>
      <w:r>
        <w:rPr>
          <w:rFonts w:hint="eastAsia" w:ascii="仿宋_GB2312" w:hAnsi="仿宋_GB2312" w:eastAsia="仿宋_GB2312" w:cs="仿宋_GB2312"/>
          <w:b w:val="0"/>
          <w:bCs/>
          <w:color w:val="000000"/>
          <w:kern w:val="0"/>
          <w:sz w:val="32"/>
          <w:szCs w:val="32"/>
          <w:highlight w:val="none"/>
          <w:lang w:val="en-US" w:eastAsia="zh-CN" w:bidi="ar-SA"/>
        </w:rPr>
        <w:t>2435.31</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47.07</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sz w:val="32"/>
          <w:szCs w:val="32"/>
          <w:highlight w:val="none"/>
          <w:lang w:eastAsia="zh-CN"/>
        </w:rPr>
        <w:t>万元，其中：一般公共预算拨款收入</w:t>
      </w:r>
      <w:r>
        <w:rPr>
          <w:rFonts w:hint="eastAsia" w:ascii="仿宋_GB2312" w:hAnsi="仿宋_GB2312" w:eastAsia="仿宋_GB2312" w:cs="仿宋_GB2312"/>
          <w:b w:val="0"/>
          <w:bCs/>
          <w:color w:val="000000"/>
          <w:sz w:val="32"/>
          <w:szCs w:val="32"/>
          <w:highlight w:val="none"/>
          <w:lang w:val="en-US" w:eastAsia="zh-CN"/>
        </w:rPr>
        <w:t>5173.61</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。支出包括：</w:t>
      </w:r>
      <w:r>
        <w:rPr>
          <w:rFonts w:hint="default" w:ascii="仿宋_GB2312" w:hAnsi="仿宋_GB2312" w:eastAsia="仿宋_GB2312" w:cs="仿宋_GB2312"/>
          <w:b w:val="0"/>
          <w:bCs/>
          <w:color w:val="000000"/>
          <w:kern w:val="0"/>
          <w:sz w:val="32"/>
          <w:szCs w:val="32"/>
          <w:highlight w:val="none"/>
          <w:lang w:val="en-US" w:eastAsia="zh-CN" w:bidi="ar-SA"/>
        </w:rPr>
        <w:t>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kern w:val="0"/>
          <w:sz w:val="32"/>
          <w:szCs w:val="32"/>
          <w:highlight w:val="none"/>
          <w:lang w:val="en-US" w:eastAsia="zh-CN" w:bidi="ar"/>
        </w:rPr>
      </w:pPr>
      <w:r>
        <w:rPr>
          <w:rFonts w:hint="eastAsia" w:ascii="仿宋_GB2312" w:hAnsi="仿宋_GB2312" w:eastAsia="仿宋_GB2312" w:cs="仿宋_GB2312"/>
          <w:b w:val="0"/>
          <w:bCs/>
          <w:color w:val="000000"/>
          <w:kern w:val="0"/>
          <w:sz w:val="32"/>
          <w:szCs w:val="32"/>
          <w:highlight w:val="none"/>
          <w:lang w:val="en-US" w:eastAsia="zh-CN" w:bidi="ar"/>
        </w:rPr>
        <w:t>兰溪市公安局交通警察大队2022年一般公共预算当年拨款5173.61万元，比上年执行数</w:t>
      </w:r>
      <w:r>
        <w:rPr>
          <w:rFonts w:hint="eastAsia" w:ascii="仿宋_GB2312" w:hAnsi="仿宋_GB2312" w:eastAsia="仿宋_GB2312" w:cs="仿宋_GB2312"/>
          <w:color w:val="000000"/>
          <w:sz w:val="32"/>
          <w:szCs w:val="32"/>
          <w:highlight w:val="none"/>
          <w:lang w:val="en-US" w:eastAsia="zh-CN"/>
        </w:rPr>
        <w:t>增加49.76万元，</w:t>
      </w:r>
      <w:r>
        <w:rPr>
          <w:rFonts w:hint="eastAsia" w:ascii="仿宋_GB2312" w:hAnsi="仿宋_GB2312" w:eastAsia="仿宋_GB2312" w:cs="仿宋_GB2312"/>
          <w:color w:val="000000"/>
          <w:sz w:val="32"/>
          <w:highlight w:val="none"/>
          <w:lang w:val="en-US" w:eastAsia="zh-CN"/>
        </w:rPr>
        <w:t>增长</w:t>
      </w:r>
      <w:r>
        <w:rPr>
          <w:rFonts w:hint="eastAsia" w:ascii="仿宋_GB2312" w:hAnsi="仿宋_GB2312" w:eastAsia="仿宋_GB2312" w:cs="仿宋_GB2312"/>
          <w:color w:val="000000"/>
          <w:sz w:val="32"/>
          <w:szCs w:val="32"/>
          <w:highlight w:val="none"/>
          <w:lang w:val="en-US" w:eastAsia="zh-CN"/>
        </w:rPr>
        <w:t>9.73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主要是人员工资增长和省补经费的增加。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default" w:ascii="仿宋_GB2312" w:hAnsi="仿宋_GB2312" w:eastAsia="仿宋_GB2312" w:cs="仿宋_GB2312"/>
          <w:b w:val="0"/>
          <w:bCs/>
          <w:color w:val="000000"/>
          <w:kern w:val="0"/>
          <w:sz w:val="32"/>
          <w:szCs w:val="32"/>
          <w:highlight w:val="none"/>
          <w:lang w:val="en-US" w:eastAsia="zh-CN" w:bidi="ar-SA"/>
        </w:rPr>
        <w:t>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（1）公共安全支出（类）公安（款）行政运行（项）：2676.76万元，反映行政单位的基本支出。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（2）公共安全支出（类）公安（款）一般行政管理事务（项）：1618.80万元，反映行政单位未单独设置项级科目的其他项目支出。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（3）公共安全支出（类）公安（款）执法办案（项）：535.90万元，反映公安机关从事行政执法、刑事司法及侦查办案等相关活动的支出。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（4）公共安全支出（类）公安（款）其他公安支出（项）：280.61万元，反映除上述项目以外其他用于公安方面的支出。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（5）卫生健康支出（类）行政事业单位医疗（款）行政单位医疗（项）：61.54万元，反映财政部门安排的行政单位基本医疗保险缴费经费。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2738.30万元，其中：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2529.90万元，主要包括：基本工资、津贴补贴、奖金、社会保障缴费、绩效工资、其他工资福利支出、离休费、助学金、生活补助、医疗费、奖励金、住房公积金、提租补贴、购房补贴、其他对个人和家庭的补助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208.40万元，主要包括：办公费、印刷费、手续费、邮电费、差旅费、因公出国（境）费用、维修（护）费、会议费、培训费、公务接待费、劳务费、工会经费、福利费、其他商品和服务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kern w:val="2"/>
          <w:sz w:val="32"/>
          <w:szCs w:val="32"/>
          <w:highlight w:val="none"/>
          <w:lang w:val="en-US" w:eastAsia="zh-CN"/>
        </w:rPr>
        <w:t>65.3</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w:t>
      </w:r>
      <w:r>
        <w:rPr>
          <w:rFonts w:hint="eastAsia" w:ascii="仿宋_GB2312" w:hAnsi="仿宋_GB2312" w:eastAsia="仿宋_GB2312" w:cs="仿宋_GB2312"/>
          <w:b w:val="0"/>
          <w:bCs/>
          <w:color w:val="000000"/>
          <w:kern w:val="2"/>
          <w:sz w:val="32"/>
          <w:szCs w:val="32"/>
          <w:highlight w:val="none"/>
          <w:lang w:val="en-US" w:eastAsia="zh-CN"/>
        </w:rPr>
        <w:t>预算数相比</w:t>
      </w:r>
      <w:r>
        <w:rPr>
          <w:rFonts w:hint="eastAsia" w:ascii="仿宋_GB2312" w:hAnsi="仿宋_GB2312" w:eastAsia="仿宋_GB2312" w:cs="仿宋_GB2312"/>
          <w:b w:val="0"/>
          <w:bCs/>
          <w:color w:val="000000"/>
          <w:kern w:val="2"/>
          <w:sz w:val="32"/>
          <w:szCs w:val="32"/>
          <w:highlight w:val="none"/>
          <w:lang w:eastAsia="zh-CN"/>
        </w:rPr>
        <w:t>无变化，</w:t>
      </w:r>
      <w:r>
        <w:rPr>
          <w:rFonts w:hint="eastAsia" w:ascii="仿宋_GB2312" w:hAnsi="仿宋_GB2312" w:eastAsia="仿宋_GB2312" w:cs="仿宋_GB2312"/>
          <w:b w:val="0"/>
          <w:bCs/>
          <w:color w:val="000000"/>
          <w:kern w:val="2"/>
          <w:sz w:val="32"/>
          <w:szCs w:val="32"/>
          <w:highlight w:val="none"/>
        </w:rPr>
        <w:t>具体如下：</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因公出国（境）费用：根据外事办安排的因公出国计划和实际工作需要，202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年安排因公出国（境）费用预算 0万元,与去年持平。</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0.3</w:t>
      </w:r>
      <w:r>
        <w:rPr>
          <w:rFonts w:hint="eastAsia" w:ascii="仿宋_GB2312" w:hAnsi="仿宋_GB2312" w:eastAsia="仿宋_GB2312" w:cs="仿宋_GB2312"/>
          <w:b w:val="0"/>
          <w:bCs/>
          <w:sz w:val="32"/>
          <w:szCs w:val="32"/>
          <w:highlight w:val="none"/>
        </w:rPr>
        <w:t>万元。主要用于接待上级及其他县市来兰溪工作交流等支出。</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65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lang w:val="en-US" w:eastAsia="zh-CN"/>
        </w:rPr>
        <w:t>持平。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部门汇总的机关运行经费财政拨款预算</w:t>
      </w:r>
      <w:r>
        <w:rPr>
          <w:rFonts w:hint="eastAsia" w:ascii="仿宋_GB2312" w:eastAsia="仿宋_GB2312"/>
          <w:color w:val="000000"/>
          <w:sz w:val="32"/>
          <w:szCs w:val="32"/>
          <w:highlight w:val="none"/>
          <w:lang w:val="en-US" w:eastAsia="zh-CN"/>
        </w:rPr>
        <w:t>208.40万元，比上年预算减少44.38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，下降21.30%，主要是保运转减少不必要开支</w:t>
      </w:r>
      <w:r>
        <w:rPr>
          <w:rFonts w:hint="eastAsia" w:ascii="仿宋_GB2312" w:eastAsia="仿宋_GB2312"/>
          <w:color w:val="000000"/>
          <w:sz w:val="32"/>
          <w:szCs w:val="32"/>
          <w:highlight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p>
    <w:p>
      <w:pPr>
        <w:pStyle w:val="11"/>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部门</w:t>
      </w:r>
      <w:r>
        <w:rPr>
          <w:rFonts w:hint="eastAsia" w:ascii="仿宋_GB2312" w:eastAsia="仿宋_GB2312"/>
          <w:color w:val="000000"/>
          <w:sz w:val="32"/>
          <w:szCs w:val="32"/>
          <w:highlight w:val="none"/>
          <w:lang w:eastAsia="zh-CN"/>
        </w:rPr>
        <w:t>各汇总政府采购预算总额</w:t>
      </w:r>
      <w:r>
        <w:rPr>
          <w:rFonts w:hint="eastAsia" w:ascii="仿宋_GB2312" w:eastAsia="仿宋_GB2312"/>
          <w:color w:val="000000"/>
          <w:sz w:val="32"/>
          <w:szCs w:val="32"/>
          <w:highlight w:val="none"/>
          <w:lang w:val="en-US" w:eastAsia="zh-CN"/>
        </w:rPr>
        <w:t>386.48万元，其中：政府采购货物预算386.48万元。</w:t>
      </w:r>
    </w:p>
    <w:p>
      <w:pPr>
        <w:pStyle w:val="11"/>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Calibri" w:eastAsia="仿宋_GB2312" w:cs="Times New Roman"/>
          <w:color w:val="000000"/>
          <w:kern w:val="0"/>
          <w:sz w:val="32"/>
          <w:szCs w:val="32"/>
          <w:highlight w:val="none"/>
          <w:lang w:val="en-US" w:eastAsia="zh-CN" w:bidi="ar-SA"/>
        </w:rPr>
      </w:pPr>
      <w:r>
        <w:rPr>
          <w:rFonts w:hint="eastAsia" w:ascii="仿宋_GB2312" w:hAnsi="Calibri" w:eastAsia="仿宋_GB2312" w:cs="Times New Roman"/>
          <w:color w:val="000000"/>
          <w:kern w:val="0"/>
          <w:sz w:val="32"/>
          <w:szCs w:val="32"/>
          <w:highlight w:val="none"/>
          <w:lang w:val="en-US" w:eastAsia="zh-CN" w:bidi="ar-SA"/>
        </w:rPr>
        <w:t>截至2021年12月31日，部门所属各预算</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共有车辆</w:t>
      </w:r>
      <w:r>
        <w:rPr>
          <w:rFonts w:hint="eastAsia" w:ascii="仿宋_GB2312" w:eastAsia="仿宋_GB2312" w:cs="Times New Roman"/>
          <w:color w:val="000000"/>
          <w:kern w:val="0"/>
          <w:sz w:val="32"/>
          <w:szCs w:val="32"/>
          <w:highlight w:val="none"/>
          <w:lang w:val="en-US" w:eastAsia="zh-CN" w:bidi="ar-SA"/>
        </w:rPr>
        <w:t>32</w:t>
      </w:r>
      <w:r>
        <w:rPr>
          <w:rFonts w:hint="eastAsia" w:ascii="仿宋_GB2312" w:hAnsi="Calibri" w:eastAsia="仿宋_GB2312" w:cs="Times New Roman"/>
          <w:color w:val="000000"/>
          <w:kern w:val="0"/>
          <w:sz w:val="32"/>
          <w:szCs w:val="32"/>
          <w:highlight w:val="none"/>
          <w:lang w:val="en-US" w:eastAsia="zh-CN" w:bidi="ar-SA"/>
        </w:rPr>
        <w:t>辆其中，执法执勤用车</w:t>
      </w:r>
      <w:r>
        <w:rPr>
          <w:rFonts w:hint="eastAsia" w:ascii="仿宋_GB2312" w:eastAsia="仿宋_GB2312" w:cs="Times New Roman"/>
          <w:color w:val="000000"/>
          <w:kern w:val="0"/>
          <w:sz w:val="32"/>
          <w:szCs w:val="32"/>
          <w:highlight w:val="none"/>
          <w:lang w:val="en-US" w:eastAsia="zh-CN" w:bidi="ar-SA"/>
        </w:rPr>
        <w:t>24</w:t>
      </w:r>
      <w:r>
        <w:rPr>
          <w:rFonts w:hint="eastAsia" w:ascii="仿宋_GB2312" w:hAnsi="Calibri" w:eastAsia="仿宋_GB2312" w:cs="Times New Roman"/>
          <w:color w:val="000000"/>
          <w:kern w:val="0"/>
          <w:sz w:val="32"/>
          <w:szCs w:val="32"/>
          <w:highlight w:val="none"/>
          <w:lang w:val="en-US" w:eastAsia="zh-CN" w:bidi="ar-SA"/>
        </w:rPr>
        <w:t>辆、特种专业技术用车</w:t>
      </w:r>
      <w:r>
        <w:rPr>
          <w:rFonts w:hint="eastAsia" w:ascii="仿宋_GB2312" w:eastAsia="仿宋_GB2312" w:cs="Times New Roman"/>
          <w:color w:val="000000"/>
          <w:kern w:val="0"/>
          <w:sz w:val="32"/>
          <w:szCs w:val="32"/>
          <w:highlight w:val="none"/>
          <w:lang w:val="en-US" w:eastAsia="zh-CN" w:bidi="ar-SA"/>
        </w:rPr>
        <w:t>8</w:t>
      </w:r>
      <w:r>
        <w:rPr>
          <w:rFonts w:hint="eastAsia" w:ascii="仿宋_GB2312" w:hAnsi="Calibri" w:eastAsia="仿宋_GB2312" w:cs="Times New Roman"/>
          <w:color w:val="000000"/>
          <w:kern w:val="0"/>
          <w:sz w:val="32"/>
          <w:szCs w:val="32"/>
          <w:highlight w:val="none"/>
          <w:lang w:val="en-US" w:eastAsia="zh-CN" w:bidi="ar-SA"/>
        </w:rPr>
        <w:t>辆。</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价值50万元以上通用设备台（套），</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价值100万元以上专用设备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 xml:space="preserve">台（套）。 </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val="en-US" w:eastAsia="zh-CN"/>
        </w:rPr>
      </w:pPr>
      <w:r>
        <w:rPr>
          <w:rFonts w:hint="eastAsia" w:ascii="仿宋_GB2312" w:hAnsi="Calibri" w:eastAsia="仿宋_GB2312" w:cs="Times New Roman"/>
          <w:color w:val="000000"/>
          <w:kern w:val="0"/>
          <w:sz w:val="32"/>
          <w:szCs w:val="32"/>
          <w:highlight w:val="none"/>
          <w:lang w:val="en-US" w:eastAsia="zh-CN" w:bidi="ar-SA"/>
        </w:rPr>
        <w:t>2022年部门预算安排购置车辆</w:t>
      </w:r>
      <w:r>
        <w:rPr>
          <w:rFonts w:hint="eastAsia" w:ascii="仿宋_GB2312" w:eastAsia="仿宋_GB2312" w:cs="Times New Roman"/>
          <w:color w:val="000000"/>
          <w:kern w:val="0"/>
          <w:sz w:val="32"/>
          <w:szCs w:val="32"/>
          <w:highlight w:val="none"/>
          <w:lang w:val="en-US" w:eastAsia="zh-CN" w:bidi="ar-SA"/>
        </w:rPr>
        <w:t>6</w:t>
      </w:r>
      <w:r>
        <w:rPr>
          <w:rFonts w:hint="eastAsia" w:ascii="仿宋_GB2312" w:hAnsi="Calibri" w:eastAsia="仿宋_GB2312" w:cs="Times New Roman"/>
          <w:color w:val="000000"/>
          <w:kern w:val="0"/>
          <w:sz w:val="32"/>
          <w:szCs w:val="32"/>
          <w:highlight w:val="none"/>
          <w:lang w:val="en-US" w:eastAsia="zh-CN" w:bidi="ar-SA"/>
        </w:rPr>
        <w:t>辆，其中，</w:t>
      </w:r>
      <w:r>
        <w:rPr>
          <w:rFonts w:hint="eastAsia" w:ascii="仿宋_GB2312" w:eastAsia="仿宋_GB2312" w:cs="Times New Roman"/>
          <w:color w:val="000000"/>
          <w:kern w:val="0"/>
          <w:sz w:val="32"/>
          <w:szCs w:val="32"/>
          <w:highlight w:val="none"/>
          <w:lang w:val="en-US" w:eastAsia="zh-CN" w:bidi="ar-SA"/>
        </w:rPr>
        <w:t>特种专业技术用车6</w:t>
      </w:r>
      <w:r>
        <w:rPr>
          <w:rFonts w:hint="eastAsia" w:ascii="仿宋_GB2312" w:hAnsi="Calibri" w:eastAsia="仿宋_GB2312" w:cs="Times New Roman"/>
          <w:color w:val="000000"/>
          <w:kern w:val="0"/>
          <w:sz w:val="32"/>
          <w:szCs w:val="32"/>
          <w:highlight w:val="none"/>
          <w:lang w:val="en-US" w:eastAsia="zh-CN" w:bidi="ar-SA"/>
        </w:rPr>
        <w:t>辆。20</w:t>
      </w:r>
      <w:r>
        <w:rPr>
          <w:rFonts w:hint="eastAsia" w:ascii="仿宋_GB2312" w:eastAsia="仿宋_GB2312" w:cs="Times New Roman"/>
          <w:color w:val="000000"/>
          <w:kern w:val="0"/>
          <w:sz w:val="32"/>
          <w:szCs w:val="32"/>
          <w:highlight w:val="none"/>
          <w:lang w:val="en-US" w:eastAsia="zh-CN" w:bidi="ar-SA"/>
        </w:rPr>
        <w:t>22</w:t>
      </w:r>
      <w:r>
        <w:rPr>
          <w:rFonts w:hint="eastAsia" w:ascii="仿宋_GB2312" w:hAnsi="Calibri" w:eastAsia="仿宋_GB2312" w:cs="Times New Roman"/>
          <w:color w:val="000000"/>
          <w:kern w:val="0"/>
          <w:sz w:val="32"/>
          <w:szCs w:val="32"/>
          <w:highlight w:val="none"/>
          <w:lang w:val="en-US" w:eastAsia="zh-CN" w:bidi="ar-SA"/>
        </w:rPr>
        <w:t>年部门预算安排购置单位价值50万元以上通用设备0台（套），单位价值100万元以上专用设备0台（套）</w:t>
      </w:r>
      <w:r>
        <w:rPr>
          <w:rFonts w:hint="eastAsia" w:ascii="仿宋_GB2312" w:hAnsi="仿宋_GB2312" w:eastAsia="仿宋_GB2312" w:cs="仿宋_GB2312"/>
          <w:b w:val="0"/>
          <w:bCs/>
          <w:sz w:val="32"/>
          <w:szCs w:val="32"/>
          <w:highlight w:val="none"/>
          <w:u w:val="none"/>
          <w:lang w:val="en-US"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兰溪市公安局交通警察大队其他运转类和特定目标类项目均实行绩效目标管理，涉及一般公共预算当年拨款2435.31万元，一级项目3个。</w:t>
      </w:r>
    </w:p>
    <w:p>
      <w:pPr>
        <w:pStyle w:val="11"/>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1.财政拨款收入：汇总财政部门当年拨付的财政预算资金，包括一般公共预算财政拨款和政府性基金预算财政拨款。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3.事业收入：事业汇总开展专业业务活动及辅助活动所取得的收入，不含专户资金收入。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4.事业汇总经营收入：事业汇总在专业业务活动及辅助活动之外开展非独立核算经营活动取得的收入。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5.其他收入：预算汇总在“一般公共预算”“政府性基金”“专户资金”“事业收入”“事业汇总经营收入”等之外取得的各项收入（含上级补助收入和附属汇总缴款等收入）。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汇总在预计用当年的“财政拨款收入”“专户资金”“事业收入”“事业汇总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8.基本支出：是预算汇总为保障其正常运转，完成日常工作任务所发生的支出，包括人员支出和日常公用支出。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9.项目支出：是预算汇总为完成其特定的行政工作任务或事业发展目标所发生的支出。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10.经营支出：指事业汇总在专业业务活动及其辅助活动之外开展非独立核算经营活动发生的支出。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汇总公务出国（境）的国际旅费、国外城市间交通费、住宿费、伙食费、培训费、公杂费等支出，不含教学科研人员学术交流；公务用车购置及运行费反映汇总公务用车车辆购置支出（含车辆购置税）及燃料费、维修费、过桥过路费、保险费、安全奖励费用等支出；公务接待费反映汇总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汇总（含参照公务员法管理的事业汇总）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13.公共安全（类）公安（款）行政运行（项）：反映行政单位的基本支出。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 公共安全（类）公安（款）一般行政管理事务（项）：反映行政单位未单独设置项级科目的其他项目支出。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 公共安全（类）公安（款）信息化建设（项）：反映各级公安机关用于非涉密的信息网络建设和运行维护相关支出。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 公共安全（类）公安（款）执法办案（项）：反映公安机关从事行政执法、刑事司法及侦查办案等相关活动的支出。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 公共安全（类）公安（款）其他公安支出（项）：反映除上述项目以外其他用于公安方面的支出。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18、卫生健康支出（类）行政事业单位医疗（款）行政单位医疗（项）：反映财政部门安排的行政单位基本医疗保险缴费经费。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b w:val="0"/>
          <w:bCs/>
          <w:color w:val="000000"/>
          <w:sz w:val="32"/>
          <w:szCs w:val="32"/>
          <w:highlight w:val="none"/>
          <w:lang w:val="en-US" w:eastAsia="zh-CN"/>
        </w:rPr>
        <w:t>社会保障和就业支出（类）抚恤（款）死亡抚恤（项）：反映财政部门安排用于病故人员家属的一次性抚恤金和丧葬费支出。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F0411"/>
    <w:multiLevelType w:val="singleLevel"/>
    <w:tmpl w:val="971F0411"/>
    <w:lvl w:ilvl="0" w:tentative="0">
      <w:start w:val="8"/>
      <w:numFmt w:val="chineseCounting"/>
      <w:suff w:val="nothing"/>
      <w:lvlText w:val="（%1）"/>
      <w:lvlJc w:val="left"/>
      <w:rPr>
        <w:rFonts w:hint="eastAsia"/>
      </w:rPr>
    </w:lvl>
  </w:abstractNum>
  <w:abstractNum w:abstractNumId="1">
    <w:nsid w:val="F856CE09"/>
    <w:multiLevelType w:val="singleLevel"/>
    <w:tmpl w:val="F856CE09"/>
    <w:lvl w:ilvl="0" w:tentative="0">
      <w:start w:val="2"/>
      <w:numFmt w:val="chineseCounting"/>
      <w:suff w:val="nothing"/>
      <w:lvlText w:val="%1、"/>
      <w:lvlJc w:val="left"/>
      <w:rPr>
        <w:rFonts w:hint="eastAsia"/>
      </w:r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7C73934B"/>
    <w:multiLevelType w:val="singleLevel"/>
    <w:tmpl w:val="7C73934B"/>
    <w:lvl w:ilvl="0" w:tentative="0">
      <w:start w:val="3"/>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3471189"/>
    <w:rsid w:val="05120CA5"/>
    <w:rsid w:val="05E256B5"/>
    <w:rsid w:val="092A2287"/>
    <w:rsid w:val="14DD02FC"/>
    <w:rsid w:val="1A491381"/>
    <w:rsid w:val="1AB7745A"/>
    <w:rsid w:val="1CB11B06"/>
    <w:rsid w:val="1D267876"/>
    <w:rsid w:val="203B5FCA"/>
    <w:rsid w:val="222E56E9"/>
    <w:rsid w:val="2240207E"/>
    <w:rsid w:val="232A3B7C"/>
    <w:rsid w:val="2751016E"/>
    <w:rsid w:val="28C332ED"/>
    <w:rsid w:val="2A7131F7"/>
    <w:rsid w:val="2A7726FA"/>
    <w:rsid w:val="2BC709C1"/>
    <w:rsid w:val="2E8356C0"/>
    <w:rsid w:val="31230779"/>
    <w:rsid w:val="31827BCA"/>
    <w:rsid w:val="34900F27"/>
    <w:rsid w:val="34C35F6B"/>
    <w:rsid w:val="35513701"/>
    <w:rsid w:val="3672257E"/>
    <w:rsid w:val="3CCF2EEB"/>
    <w:rsid w:val="3FC67889"/>
    <w:rsid w:val="42702895"/>
    <w:rsid w:val="43C82C5B"/>
    <w:rsid w:val="49467D21"/>
    <w:rsid w:val="4FB76F05"/>
    <w:rsid w:val="53DB7E03"/>
    <w:rsid w:val="569A4253"/>
    <w:rsid w:val="57021FC9"/>
    <w:rsid w:val="588D5353"/>
    <w:rsid w:val="5CB71FB5"/>
    <w:rsid w:val="5CC64A5D"/>
    <w:rsid w:val="5FE411BB"/>
    <w:rsid w:val="60F845F0"/>
    <w:rsid w:val="62053CCA"/>
    <w:rsid w:val="67552454"/>
    <w:rsid w:val="67774C98"/>
    <w:rsid w:val="68AF2170"/>
    <w:rsid w:val="68EC49A5"/>
    <w:rsid w:val="6ED30A35"/>
    <w:rsid w:val="71015867"/>
    <w:rsid w:val="72F67D45"/>
    <w:rsid w:val="79C92786"/>
    <w:rsid w:val="7B3D0ADB"/>
    <w:rsid w:val="7CD13BC6"/>
    <w:rsid w:val="7E90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character" w:styleId="9">
    <w:name w:val="Emphasis"/>
    <w:basedOn w:val="5"/>
    <w:qFormat/>
    <w:uiPriority w:val="0"/>
    <w:rPr>
      <w:i/>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浅色</cp:lastModifiedBy>
  <dcterms:modified xsi:type="dcterms:W3CDTF">2022-03-07T07:12:58Z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515AA49693214FB687E9406FE2163259</vt:lpwstr>
  </property>
</Properties>
</file>