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pStyle w:val="3"/>
        <w:rPr>
          <w:rFonts w:hint="default"/>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Times New Roman" w:hAnsi="Times New Roman" w:eastAsia="方正小标宋简体" w:cs="Times New Roman"/>
          <w:b/>
          <w:bCs w:val="0"/>
          <w:spacing w:val="15"/>
          <w:sz w:val="44"/>
          <w:szCs w:val="44"/>
          <w:highlight w:val="none"/>
          <w:lang w:eastAsia="zh-CN"/>
        </w:rPr>
      </w:pPr>
      <w:r>
        <w:rPr>
          <w:rFonts w:hint="eastAsia" w:ascii="Times New Roman" w:hAnsi="Times New Roman" w:eastAsia="方正小标宋简体" w:cs="Times New Roman"/>
          <w:b/>
          <w:bCs w:val="0"/>
          <w:spacing w:val="15"/>
          <w:sz w:val="44"/>
          <w:szCs w:val="44"/>
          <w:highlight w:val="none"/>
          <w:lang w:eastAsia="zh-CN"/>
        </w:rPr>
        <w:t>兰溪市劳动人事争议仲裁院</w:t>
      </w: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default"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eastAsia" w:ascii="Times New Roman" w:hAnsi="Times New Roman" w:eastAsia="黑体" w:cs="Times New Roman"/>
          <w:b w:val="0"/>
          <w:color w:val="000000"/>
          <w:sz w:val="32"/>
          <w:szCs w:val="32"/>
          <w:highlight w:val="none"/>
          <w:lang w:eastAsia="zh-CN"/>
        </w:rPr>
        <w:t>兰溪市劳动人事争议仲裁院</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w:t>
      </w:r>
      <w:r>
        <w:rPr>
          <w:rFonts w:hint="eastAsia" w:ascii="Times New Roman" w:hAnsi="Times New Roman" w:eastAsia="楷体_GB2312" w:cs="Times New Roman"/>
          <w:b w:val="0"/>
          <w:bCs/>
          <w:sz w:val="32"/>
          <w:szCs w:val="32"/>
          <w:highlight w:val="none"/>
          <w:lang w:eastAsia="zh-CN"/>
        </w:rPr>
        <w:t>兰溪市劳动人事争议仲裁院</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eastAsia" w:ascii="Times New Roman" w:hAnsi="Times New Roman" w:eastAsia="黑体" w:cs="Times New Roman"/>
          <w:b w:val="0"/>
          <w:color w:val="000000"/>
          <w:sz w:val="32"/>
          <w:szCs w:val="32"/>
          <w:highlight w:val="none"/>
          <w:lang w:val="en-US" w:eastAsia="zh-CN"/>
        </w:rPr>
        <w:t>兰溪市劳动人事争议仲裁院</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（一）2022年单位收支预算总表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（二）2022年单位收入预算总表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（三）2022年单位支出预算总表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（四）2022年单位财政拨款收支预算总表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（五）2022年单位一般公共预算支出表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（六）2022年单位一般公共预算基本支出表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（七）2022年单位一般公共预算“三公”经费支出表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（八）2022年单位政府性基金预算支出表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eastAsia" w:ascii="Times New Roman" w:hAnsi="Times New Roman" w:eastAsia="黑体" w:cs="Times New Roman"/>
          <w:b/>
          <w:bCs w:val="0"/>
          <w:color w:val="000000"/>
          <w:sz w:val="32"/>
          <w:szCs w:val="32"/>
          <w:highlight w:val="none"/>
          <w:lang w:val="en-US" w:eastAsia="zh-CN"/>
        </w:rPr>
        <w:t>兰溪市劳动人事争议仲裁院</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1.承办处理劳动（人事）争议案件的日常工作。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2.处理本级管辖的劳动（人事）争议案件。</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3.管理仲裁委员会的文书、档案、印鉴，做好仲裁委员会日常工作。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4.负责全市基层劳动（人事）争议调解组织的业务指导和管理工作。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5.负责劳动（人事）争议及其处理方面的法律、法规、政策的宣传和咨询工作。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6.完成兰溪市劳动人事争议仲裁院交办的其他任务。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widowControl w:val="0"/>
        <w:suppressLineNumbers w:val="0"/>
        <w:spacing w:before="0" w:beforeAutospacing="0" w:after="0" w:afterAutospacing="0" w:line="560" w:lineRule="exact"/>
        <w:ind w:left="0" w:right="0" w:firstLine="627" w:firstLineChars="196"/>
        <w:jc w:val="both"/>
        <w:rPr>
          <w:rFonts w:hint="eastAsia" w:ascii="仿宋_GB2312" w:hAnsi="仿宋_GB2312" w:eastAsia="仿宋_GB2312" w:cs="仿宋_GB2312"/>
          <w:bCs/>
          <w:sz w:val="32"/>
          <w:szCs w:val="32"/>
          <w:u w:val="single"/>
          <w:lang w:val="en-US"/>
        </w:rPr>
      </w:pPr>
      <w:r>
        <w:rPr>
          <w:rFonts w:hint="eastAsia" w:ascii="仿宋_GB2312" w:hAnsi="仿宋_GB2312" w:eastAsia="仿宋_GB2312" w:cs="仿宋_GB2312"/>
          <w:bCs/>
          <w:sz w:val="32"/>
          <w:szCs w:val="32"/>
        </w:rPr>
        <w:t>从预算单位构成看，兰溪市劳动人事争议仲裁院是</w:t>
      </w:r>
      <w:r>
        <w:rPr>
          <w:rFonts w:hint="eastAsia" w:ascii="仿宋_GB2312" w:hAnsi="仿宋_GB2312" w:eastAsia="仿宋_GB2312" w:cs="仿宋_GB2312"/>
          <w:bCs/>
          <w:sz w:val="32"/>
          <w:szCs w:val="32"/>
          <w:lang w:eastAsia="zh-CN"/>
        </w:rPr>
        <w:t>兰溪市劳动人事争议仲裁院</w:t>
      </w:r>
      <w:r>
        <w:rPr>
          <w:rFonts w:hint="eastAsia" w:ascii="仿宋_GB2312" w:hAnsi="仿宋_GB2312" w:eastAsia="仿宋_GB2312" w:cs="仿宋_GB2312"/>
          <w:bCs/>
          <w:sz w:val="32"/>
          <w:szCs w:val="32"/>
        </w:rPr>
        <w:t>下属二级预算单位，属于公益一类参公事业单位，单位分别设联合调度中心调解室、综合办公室、立案调解庭、立案审理庭，独立预算单位。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lang w:eastAsia="zh-CN"/>
        </w:rPr>
      </w:pPr>
      <w:r>
        <w:rPr>
          <w:rStyle w:val="8"/>
          <w:rFonts w:hint="default" w:ascii="Times New Roman" w:hAnsi="Times New Roman" w:eastAsia="楷体_GB2312" w:cs="Times New Roman"/>
          <w:b/>
          <w:bCs w:val="0"/>
          <w:color w:val="000000"/>
          <w:sz w:val="32"/>
          <w:szCs w:val="32"/>
          <w:highlight w:val="none"/>
          <w:lang w:eastAsia="zh-CN"/>
        </w:rPr>
        <w:t>二、</w:t>
      </w:r>
      <w:r>
        <w:rPr>
          <w:rStyle w:val="8"/>
          <w:rFonts w:hint="eastAsia" w:ascii="Times New Roman" w:hAnsi="Times New Roman" w:eastAsia="楷体_GB2312" w:cs="Times New Roman"/>
          <w:b/>
          <w:bCs w:val="0"/>
          <w:color w:val="000000"/>
          <w:sz w:val="32"/>
          <w:szCs w:val="32"/>
          <w:highlight w:val="none"/>
          <w:lang w:val="en-US" w:eastAsia="zh-CN"/>
        </w:rPr>
        <w:t>兰溪市劳动人事争议仲裁院</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Style w:val="8"/>
          <w:rFonts w:hint="default" w:ascii="Times New Roman" w:hAnsi="Times New Roman" w:eastAsia="楷体_GB2312" w:cs="Times New Roman"/>
          <w:b/>
          <w:bCs w:val="0"/>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eastAsia" w:ascii="Times New Roman" w:hAnsi="Times New Roman" w:eastAsia="楷体_GB2312" w:cs="Times New Roman"/>
          <w:b/>
          <w:bCs w:val="0"/>
          <w:color w:val="000000"/>
          <w:sz w:val="32"/>
          <w:szCs w:val="32"/>
          <w:highlight w:val="none"/>
          <w:lang w:val="en-US" w:eastAsia="zh-CN"/>
        </w:rPr>
        <w:t>兰溪市劳动人事争议仲裁院</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spacing w:line="56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按照</w:t>
      </w:r>
      <w:r>
        <w:rPr>
          <w:rFonts w:hint="eastAsia" w:ascii="仿宋_GB2312" w:hAnsi="仿宋_GB2312" w:eastAsia="仿宋_GB2312" w:cs="仿宋_GB2312"/>
          <w:bCs/>
          <w:sz w:val="32"/>
          <w:szCs w:val="32"/>
        </w:rPr>
        <w:t>综合预算的原则，兰溪市劳动人事争议仲裁院</w:t>
      </w:r>
      <w:r>
        <w:rPr>
          <w:rFonts w:hint="eastAsia" w:ascii="仿宋_GB2312" w:hAnsi="仿宋_GB2312" w:eastAsia="仿宋_GB2312" w:cs="仿宋_GB2312"/>
          <w:bCs/>
          <w:color w:val="000000"/>
          <w:sz w:val="32"/>
          <w:szCs w:val="32"/>
        </w:rPr>
        <w:t>所有收入和支出均纳入部门预算管理。收入包括：一般公共预算拨款收入；支出按功能科目分包括：社会保障和就业支出，卫生健康支出。兰溪市劳动人事争议仲裁院2022年收支总预算133.6</w:t>
      </w:r>
      <w:r>
        <w:rPr>
          <w:rFonts w:hint="eastAsia" w:ascii="仿宋_GB2312" w:hAnsi="仿宋_GB2312" w:eastAsia="仿宋_GB2312" w:cs="仿宋_GB2312"/>
          <w:bCs/>
          <w:color w:val="000000"/>
          <w:sz w:val="32"/>
          <w:szCs w:val="32"/>
          <w:lang w:val="en-US" w:eastAsia="zh-CN"/>
        </w:rPr>
        <w:t>484</w:t>
      </w:r>
      <w:r>
        <w:rPr>
          <w:rFonts w:hint="eastAsia" w:ascii="仿宋_GB2312" w:hAnsi="仿宋_GB2312" w:eastAsia="仿宋_GB2312" w:cs="仿宋_GB2312"/>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w:t>
      </w:r>
      <w:r>
        <w:rPr>
          <w:rStyle w:val="8"/>
          <w:rFonts w:hint="eastAsia" w:ascii="Times New Roman" w:hAnsi="Times New Roman" w:eastAsia="楷体_GB2312" w:cs="Times New Roman"/>
          <w:b/>
          <w:bCs w:val="0"/>
          <w:color w:val="000000"/>
          <w:sz w:val="32"/>
          <w:szCs w:val="32"/>
          <w:highlight w:val="none"/>
          <w:lang w:val="en-US"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2022年收入预算</w:t>
      </w:r>
      <w:r>
        <w:rPr>
          <w:rFonts w:hint="eastAsia" w:ascii="仿宋_GB2312" w:hAnsi="仿宋_GB2312" w:eastAsia="仿宋_GB2312" w:cs="仿宋_GB2312"/>
          <w:bCs/>
          <w:color w:val="000000"/>
          <w:sz w:val="32"/>
          <w:szCs w:val="32"/>
          <w:lang w:eastAsia="zh-CN"/>
        </w:rPr>
        <w:t>133.6484</w:t>
      </w:r>
      <w:r>
        <w:rPr>
          <w:rFonts w:hint="eastAsia" w:ascii="仿宋_GB2312" w:hAnsi="仿宋_GB2312" w:eastAsia="仿宋_GB2312" w:cs="仿宋_GB2312"/>
          <w:bCs/>
          <w:color w:val="000000"/>
          <w:sz w:val="32"/>
          <w:szCs w:val="32"/>
        </w:rPr>
        <w:t>万元，其中：一般公共预算拨款收入133.6</w:t>
      </w:r>
      <w:r>
        <w:rPr>
          <w:rFonts w:hint="eastAsia" w:ascii="仿宋_GB2312" w:hAnsi="仿宋_GB2312" w:eastAsia="仿宋_GB2312" w:cs="仿宋_GB2312"/>
          <w:bCs/>
          <w:color w:val="000000"/>
          <w:sz w:val="32"/>
          <w:szCs w:val="32"/>
          <w:lang w:val="en-US" w:eastAsia="zh-CN"/>
        </w:rPr>
        <w:t>484</w:t>
      </w:r>
      <w:r>
        <w:rPr>
          <w:rFonts w:hint="eastAsia" w:ascii="仿宋_GB2312" w:hAnsi="仿宋_GB2312" w:eastAsia="仿宋_GB2312" w:cs="仿宋_GB2312"/>
          <w:bCs/>
          <w:color w:val="000000"/>
          <w:sz w:val="32"/>
          <w:szCs w:val="32"/>
        </w:rPr>
        <w:t>万元，占100 %。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w:t>
      </w:r>
      <w:r>
        <w:rPr>
          <w:rFonts w:hint="eastAsia" w:ascii="Times New Roman" w:hAnsi="Times New Roman" w:eastAsia="楷体_GB2312" w:cs="Times New Roman"/>
          <w:b/>
          <w:bCs w:val="0"/>
          <w:color w:val="000000"/>
          <w:sz w:val="32"/>
          <w:szCs w:val="32"/>
          <w:highlight w:val="none"/>
          <w:lang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2022年支出预算133.6</w:t>
      </w:r>
      <w:r>
        <w:rPr>
          <w:rFonts w:hint="eastAsia" w:ascii="仿宋_GB2312" w:hAnsi="仿宋_GB2312" w:eastAsia="仿宋_GB2312" w:cs="仿宋_GB2312"/>
          <w:bCs/>
          <w:color w:val="000000"/>
          <w:sz w:val="32"/>
          <w:szCs w:val="32"/>
          <w:lang w:val="en-US" w:eastAsia="zh-CN"/>
        </w:rPr>
        <w:t>484</w:t>
      </w:r>
      <w:r>
        <w:rPr>
          <w:rFonts w:hint="eastAsia" w:ascii="仿宋_GB2312" w:hAnsi="仿宋_GB2312" w:eastAsia="仿宋_GB2312" w:cs="仿宋_GB2312"/>
          <w:bCs/>
          <w:color w:val="000000"/>
          <w:sz w:val="32"/>
          <w:szCs w:val="32"/>
        </w:rPr>
        <w:t>万元。</w:t>
      </w:r>
    </w:p>
    <w:p>
      <w:pPr>
        <w:numPr>
          <w:ilvl w:val="0"/>
          <w:numId w:val="1"/>
        </w:numPr>
        <w:spacing w:line="560" w:lineRule="exact"/>
        <w:ind w:firstLine="63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按支出功能分类，包括社会保障和就业支出</w:t>
      </w:r>
      <w:r>
        <w:rPr>
          <w:rFonts w:hint="eastAsia" w:ascii="仿宋_GB2312" w:hAnsi="仿宋_GB2312" w:eastAsia="仿宋_GB2312" w:cs="仿宋_GB2312"/>
          <w:bCs/>
          <w:color w:val="000000"/>
          <w:sz w:val="32"/>
          <w:szCs w:val="32"/>
          <w:lang w:eastAsia="zh-CN"/>
        </w:rPr>
        <w:t>131.2757</w:t>
      </w:r>
      <w:r>
        <w:rPr>
          <w:rFonts w:hint="eastAsia" w:ascii="仿宋_GB2312" w:hAnsi="仿宋_GB2312" w:eastAsia="仿宋_GB2312" w:cs="仿宋_GB2312"/>
          <w:bCs/>
          <w:color w:val="000000"/>
          <w:sz w:val="32"/>
          <w:szCs w:val="32"/>
        </w:rPr>
        <w:t>万元，卫生健康支出</w:t>
      </w:r>
      <w:r>
        <w:rPr>
          <w:rFonts w:hint="eastAsia" w:ascii="仿宋_GB2312" w:hAnsi="仿宋_GB2312" w:eastAsia="仿宋_GB2312" w:cs="仿宋_GB2312"/>
          <w:bCs/>
          <w:color w:val="000000"/>
          <w:sz w:val="32"/>
          <w:szCs w:val="32"/>
          <w:lang w:eastAsia="zh-CN"/>
        </w:rPr>
        <w:t>2.3727</w:t>
      </w:r>
      <w:r>
        <w:rPr>
          <w:rFonts w:hint="eastAsia" w:ascii="仿宋_GB2312" w:hAnsi="仿宋_GB2312" w:eastAsia="仿宋_GB2312" w:cs="仿宋_GB2312"/>
          <w:bCs/>
          <w:color w:val="000000"/>
          <w:sz w:val="32"/>
          <w:szCs w:val="32"/>
        </w:rPr>
        <w:t>万元。</w:t>
      </w:r>
    </w:p>
    <w:p>
      <w:pPr>
        <w:spacing w:line="560" w:lineRule="exact"/>
        <w:ind w:firstLine="640" w:firstLineChars="200"/>
        <w:rPr>
          <w:rFonts w:hint="eastAsia" w:ascii="楷体_GB2312" w:hAnsi="楷体_GB2312" w:eastAsia="楷体_GB2312" w:cs="楷体_GB2312"/>
          <w:b/>
          <w:color w:val="000000"/>
          <w:sz w:val="32"/>
          <w:szCs w:val="32"/>
          <w:u w:val="single"/>
        </w:rPr>
      </w:pPr>
      <w:r>
        <w:rPr>
          <w:rFonts w:hint="eastAsia" w:ascii="仿宋_GB2312" w:hAnsi="仿宋_GB2312" w:eastAsia="仿宋_GB2312" w:cs="仿宋_GB2312"/>
          <w:bCs/>
          <w:color w:val="000000"/>
          <w:sz w:val="32"/>
          <w:szCs w:val="32"/>
        </w:rPr>
        <w:t>2.按支出用途分类，包括人员支出</w:t>
      </w:r>
      <w:r>
        <w:rPr>
          <w:rFonts w:hint="eastAsia" w:ascii="仿宋_GB2312" w:hAnsi="仿宋_GB2312" w:eastAsia="仿宋_GB2312" w:cs="仿宋_GB2312"/>
          <w:bCs/>
          <w:color w:val="000000"/>
          <w:sz w:val="32"/>
          <w:szCs w:val="32"/>
          <w:lang w:eastAsia="zh-CN"/>
        </w:rPr>
        <w:t>96.6884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72.34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eastAsia="zh-CN"/>
        </w:rPr>
        <w:t>14.5600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10.89</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eastAsia="zh-CN"/>
        </w:rPr>
        <w:t>22.4000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16.77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spacing w:line="56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（四）关于兰溪市劳动人事争议仲裁院2022年财政拨款收支预算情况的总体说明</w:t>
      </w:r>
    </w:p>
    <w:p>
      <w:pPr>
        <w:spacing w:line="560" w:lineRule="exact"/>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2022年财政拨款收支总预算</w:t>
      </w:r>
      <w:r>
        <w:rPr>
          <w:rFonts w:hint="eastAsia" w:ascii="仿宋_GB2312" w:hAnsi="仿宋_GB2312" w:eastAsia="仿宋_GB2312" w:cs="仿宋_GB2312"/>
          <w:bCs/>
          <w:color w:val="000000"/>
          <w:sz w:val="32"/>
          <w:szCs w:val="32"/>
          <w:lang w:eastAsia="zh-CN"/>
        </w:rPr>
        <w:t>133.6484</w:t>
      </w:r>
      <w:r>
        <w:rPr>
          <w:rFonts w:hint="eastAsia" w:ascii="仿宋_GB2312" w:hAnsi="仿宋_GB2312" w:eastAsia="仿宋_GB2312" w:cs="仿宋_GB2312"/>
          <w:bCs/>
          <w:color w:val="000000"/>
          <w:sz w:val="32"/>
          <w:szCs w:val="32"/>
        </w:rPr>
        <w:t>万元。包括：一般公共预算拨款收入</w:t>
      </w:r>
      <w:r>
        <w:rPr>
          <w:rFonts w:hint="eastAsia" w:ascii="仿宋_GB2312" w:hAnsi="仿宋_GB2312" w:eastAsia="仿宋_GB2312" w:cs="仿宋_GB2312"/>
          <w:bCs/>
          <w:color w:val="000000"/>
          <w:sz w:val="32"/>
          <w:szCs w:val="32"/>
          <w:lang w:eastAsia="zh-CN"/>
        </w:rPr>
        <w:t>133.6484</w:t>
      </w:r>
      <w:r>
        <w:rPr>
          <w:rFonts w:hint="eastAsia" w:ascii="仿宋_GB2312" w:hAnsi="仿宋_GB2312" w:eastAsia="仿宋_GB2312" w:cs="仿宋_GB2312"/>
          <w:bCs/>
          <w:color w:val="000000"/>
          <w:sz w:val="32"/>
          <w:szCs w:val="32"/>
        </w:rPr>
        <w:t>万元；支出包括：社会保障和就业支出</w:t>
      </w:r>
      <w:r>
        <w:rPr>
          <w:rFonts w:hint="eastAsia" w:ascii="仿宋_GB2312" w:hAnsi="仿宋_GB2312" w:eastAsia="仿宋_GB2312" w:cs="仿宋_GB2312"/>
          <w:bCs/>
          <w:color w:val="000000"/>
          <w:sz w:val="32"/>
          <w:szCs w:val="32"/>
          <w:lang w:eastAsia="zh-CN"/>
        </w:rPr>
        <w:t>131.2757</w:t>
      </w:r>
      <w:r>
        <w:rPr>
          <w:rFonts w:hint="eastAsia" w:ascii="仿宋_GB2312" w:hAnsi="仿宋_GB2312" w:eastAsia="仿宋_GB2312" w:cs="仿宋_GB2312"/>
          <w:bCs/>
          <w:color w:val="000000"/>
          <w:sz w:val="32"/>
          <w:szCs w:val="32"/>
        </w:rPr>
        <w:t>万元，占比98.23%卫生健康支出</w:t>
      </w:r>
      <w:r>
        <w:rPr>
          <w:rFonts w:hint="eastAsia" w:ascii="仿宋_GB2312" w:hAnsi="仿宋_GB2312" w:eastAsia="仿宋_GB2312" w:cs="仿宋_GB2312"/>
          <w:bCs/>
          <w:color w:val="000000"/>
          <w:sz w:val="32"/>
          <w:szCs w:val="32"/>
          <w:lang w:eastAsia="zh-CN"/>
        </w:rPr>
        <w:t>2.3727</w:t>
      </w:r>
      <w:r>
        <w:rPr>
          <w:rFonts w:hint="eastAsia" w:ascii="仿宋_GB2312" w:hAnsi="仿宋_GB2312" w:eastAsia="仿宋_GB2312" w:cs="仿宋_GB2312"/>
          <w:bCs/>
          <w:color w:val="000000"/>
          <w:sz w:val="32"/>
          <w:szCs w:val="32"/>
        </w:rPr>
        <w:t>万元，占比1.77%。</w:t>
      </w:r>
    </w:p>
    <w:p>
      <w:pPr>
        <w:spacing w:line="560" w:lineRule="exact"/>
        <w:ind w:firstLine="643" w:firstLineChars="20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（五）关于兰溪市劳动人事争议仲裁院2022年一般公共预算当年拨款情况说明</w:t>
      </w:r>
    </w:p>
    <w:p>
      <w:pPr>
        <w:spacing w:line="560" w:lineRule="exact"/>
        <w:ind w:firstLine="64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兰溪市劳动人事争议仲裁院2022年一般公共预算当年拨款</w:t>
      </w:r>
      <w:r>
        <w:rPr>
          <w:rFonts w:hint="eastAsia" w:ascii="仿宋_GB2312" w:hAnsi="仿宋_GB2312" w:eastAsia="仿宋_GB2312" w:cs="仿宋_GB2312"/>
          <w:bCs/>
          <w:color w:val="000000"/>
          <w:sz w:val="32"/>
          <w:szCs w:val="32"/>
          <w:lang w:eastAsia="zh-CN"/>
        </w:rPr>
        <w:t>133.6484</w:t>
      </w:r>
      <w:r>
        <w:rPr>
          <w:rFonts w:hint="eastAsia" w:ascii="仿宋_GB2312" w:hAnsi="仿宋_GB2312" w:eastAsia="仿宋_GB2312" w:cs="仿宋_GB2312"/>
          <w:bCs/>
          <w:color w:val="000000"/>
          <w:sz w:val="32"/>
          <w:szCs w:val="32"/>
        </w:rPr>
        <w:t>万元，比上年执行数增加58.71</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color w:val="000000"/>
          <w:sz w:val="32"/>
          <w:szCs w:val="32"/>
        </w:rPr>
        <w:t>万元，主要是人员经费增加，在编人员增加（新招录3人）。</w:t>
      </w:r>
    </w:p>
    <w:p>
      <w:pPr>
        <w:spacing w:line="560" w:lineRule="exact"/>
        <w:ind w:firstLine="64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6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社会保障和就业支出</w:t>
      </w:r>
      <w:r>
        <w:rPr>
          <w:rFonts w:hint="eastAsia" w:ascii="仿宋_GB2312" w:hAnsi="仿宋_GB2312" w:eastAsia="仿宋_GB2312" w:cs="仿宋_GB2312"/>
          <w:bCs/>
          <w:color w:val="000000"/>
          <w:sz w:val="32"/>
          <w:szCs w:val="32"/>
          <w:lang w:eastAsia="zh-CN"/>
        </w:rPr>
        <w:t>131.2757</w:t>
      </w:r>
      <w:r>
        <w:rPr>
          <w:rFonts w:hint="eastAsia" w:ascii="仿宋_GB2312" w:hAnsi="仿宋_GB2312" w:eastAsia="仿宋_GB2312" w:cs="仿宋_GB2312"/>
          <w:bCs/>
          <w:color w:val="000000"/>
          <w:sz w:val="32"/>
          <w:szCs w:val="32"/>
        </w:rPr>
        <w:t>万元，占98.23%；卫生健康支出</w:t>
      </w:r>
      <w:r>
        <w:rPr>
          <w:rFonts w:hint="eastAsia" w:ascii="仿宋_GB2312" w:hAnsi="仿宋_GB2312" w:eastAsia="仿宋_GB2312" w:cs="仿宋_GB2312"/>
          <w:bCs/>
          <w:color w:val="000000"/>
          <w:sz w:val="32"/>
          <w:szCs w:val="32"/>
          <w:lang w:val="en-US" w:eastAsia="zh-CN"/>
        </w:rPr>
        <w:t>2.3727万元，占</w:t>
      </w:r>
      <w:r>
        <w:rPr>
          <w:rFonts w:hint="eastAsia" w:ascii="仿宋_GB2312" w:hAnsi="仿宋_GB2312" w:eastAsia="仿宋_GB2312" w:cs="仿宋_GB2312"/>
          <w:bCs/>
          <w:color w:val="000000"/>
          <w:sz w:val="32"/>
          <w:szCs w:val="32"/>
        </w:rPr>
        <w:t>1.77%。</w:t>
      </w:r>
    </w:p>
    <w:p>
      <w:pPr>
        <w:spacing w:line="560" w:lineRule="exact"/>
        <w:rPr>
          <w:rFonts w:hint="eastAsia"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spacing w:line="560" w:lineRule="exact"/>
        <w:ind w:firstLine="64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（1）社会保障和就业支出（类）人力资源和社会保障管理事务（款）劳动关系和维权（项）</w:t>
      </w:r>
      <w:r>
        <w:rPr>
          <w:rFonts w:hint="eastAsia" w:ascii="仿宋_GB2312" w:hAnsi="仿宋_GB2312" w:eastAsia="仿宋_GB2312" w:cs="仿宋_GB2312"/>
          <w:bCs/>
          <w:color w:val="000000"/>
          <w:sz w:val="32"/>
          <w:szCs w:val="32"/>
          <w:lang w:eastAsia="zh-CN"/>
        </w:rPr>
        <w:t>131.2757</w:t>
      </w:r>
      <w:r>
        <w:rPr>
          <w:rFonts w:hint="eastAsia" w:ascii="仿宋_GB2312" w:hAnsi="仿宋_GB2312" w:eastAsia="仿宋_GB2312" w:cs="仿宋_GB2312"/>
          <w:bCs/>
          <w:color w:val="000000"/>
          <w:sz w:val="32"/>
          <w:szCs w:val="32"/>
        </w:rPr>
        <w:t>万元，主要用于反映劳动关系和维权事务支出、仲裁机构实体化建设、办案经费、调解仲裁能力建设等支出。</w:t>
      </w:r>
    </w:p>
    <w:p>
      <w:pPr>
        <w:spacing w:line="560" w:lineRule="exact"/>
        <w:ind w:firstLine="64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（2）卫生健康支出（类）行政事业单位医疗（款）事业单位医疗（项）</w:t>
      </w:r>
      <w:r>
        <w:rPr>
          <w:rFonts w:hint="eastAsia" w:ascii="仿宋_GB2312" w:hAnsi="仿宋_GB2312" w:eastAsia="仿宋_GB2312" w:cs="仿宋_GB2312"/>
          <w:bCs/>
          <w:color w:val="000000"/>
          <w:sz w:val="32"/>
          <w:szCs w:val="32"/>
          <w:lang w:eastAsia="zh-CN"/>
        </w:rPr>
        <w:t>2.3727</w:t>
      </w:r>
      <w:r>
        <w:rPr>
          <w:rFonts w:hint="eastAsia" w:ascii="仿宋_GB2312" w:hAnsi="仿宋_GB2312" w:eastAsia="仿宋_GB2312" w:cs="仿宋_GB2312"/>
          <w:bCs/>
          <w:color w:val="000000"/>
          <w:sz w:val="32"/>
          <w:szCs w:val="32"/>
        </w:rPr>
        <w:t>万元，主要用于反映财政部门安排事业单位基本医疗保险缴费经费，未参加医疗保险的事业单位的公费医疗经费，按国家规定享受离休人员待遇的医疗经费。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val="en-US" w:eastAsia="zh-CN"/>
        </w:rPr>
        <w:t>（六）</w:t>
      </w:r>
      <w:r>
        <w:rPr>
          <w:rFonts w:hint="default" w:ascii="Times New Roman" w:hAnsi="Times New Roman" w:eastAsia="楷体_GB2312" w:cs="Times New Roman"/>
          <w:b/>
          <w:bCs w:val="0"/>
          <w:color w:val="000000"/>
          <w:sz w:val="32"/>
          <w:szCs w:val="32"/>
          <w:highlight w:val="none"/>
          <w:lang w:eastAsia="zh-CN"/>
        </w:rPr>
        <w:t>关于</w:t>
      </w:r>
      <w:r>
        <w:rPr>
          <w:rFonts w:hint="eastAsia" w:ascii="Times New Roman" w:hAnsi="Times New Roman" w:eastAsia="楷体_GB2312" w:cs="Times New Roman"/>
          <w:b/>
          <w:bCs w:val="0"/>
          <w:color w:val="000000"/>
          <w:sz w:val="32"/>
          <w:szCs w:val="32"/>
          <w:highlight w:val="none"/>
          <w:lang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兰溪市劳动人事争议仲裁院2022年一般公共预算基本支出11</w:t>
      </w:r>
      <w:r>
        <w:rPr>
          <w:rFonts w:hint="eastAsia" w:ascii="仿宋_GB2312" w:hAnsi="仿宋_GB2312" w:eastAsia="仿宋_GB2312" w:cs="仿宋_GB2312"/>
          <w:bCs/>
          <w:color w:val="auto"/>
          <w:sz w:val="32"/>
          <w:szCs w:val="32"/>
        </w:rPr>
        <w:t>1.2</w:t>
      </w:r>
      <w:r>
        <w:rPr>
          <w:rFonts w:hint="eastAsia" w:ascii="仿宋_GB2312" w:hAnsi="仿宋_GB2312" w:eastAsia="仿宋_GB2312" w:cs="仿宋_GB2312"/>
          <w:bCs/>
          <w:color w:val="auto"/>
          <w:sz w:val="32"/>
          <w:szCs w:val="32"/>
          <w:lang w:val="en-US" w:eastAsia="zh-CN"/>
        </w:rPr>
        <w:t>484</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000000"/>
          <w:sz w:val="32"/>
          <w:szCs w:val="32"/>
        </w:rPr>
        <w:t>，其中：</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color w:val="000000"/>
          <w:sz w:val="32"/>
          <w:szCs w:val="32"/>
          <w:lang w:eastAsia="zh-CN"/>
        </w:rPr>
        <w:t>96.6884</w:t>
      </w:r>
      <w:r>
        <w:rPr>
          <w:rFonts w:hint="eastAsia" w:ascii="仿宋_GB2312" w:hAnsi="仿宋_GB2312" w:eastAsia="仿宋_GB2312" w:cs="仿宋_GB2312"/>
          <w:bCs/>
          <w:color w:val="000000"/>
          <w:sz w:val="32"/>
          <w:szCs w:val="32"/>
        </w:rPr>
        <w:t>万元，主要包括：基本工资、津贴补贴、奖金、社会保障缴费、其他工资福利支出、助学金、生活补助、奖励金、住房公积金、其他对个人和家庭的补助支出；</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公用经费7万元，主要包括：办公费、手续费、邮电费、差旅费、伙食补助费、维修（护）费、劳务费、工会经费、福利费、其他商品和服务支出。</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公务交通补贴3万元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车辆运行维护费3.77万元；公共交通费0.45万元；机要通信和应急公务用车经费0.16万元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其他交通费0.18万元</w:t>
      </w:r>
      <w:r>
        <w:rPr>
          <w:rFonts w:hint="eastAsia" w:ascii="仿宋_GB2312" w:hAnsi="仿宋_GB2312" w:eastAsia="仿宋_GB2312" w:cs="仿宋_GB2312"/>
          <w:bCs/>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w:t>
      </w:r>
      <w:r>
        <w:rPr>
          <w:rFonts w:hint="eastAsia" w:ascii="Times New Roman" w:hAnsi="Times New Roman" w:eastAsia="楷体_GB2312" w:cs="Times New Roman"/>
          <w:b/>
          <w:bCs w:val="0"/>
          <w:color w:val="000000"/>
          <w:sz w:val="32"/>
          <w:szCs w:val="32"/>
          <w:highlight w:val="none"/>
          <w:lang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兰溪市劳动人事争议仲裁院</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（八）关于</w:t>
      </w:r>
      <w:r>
        <w:rPr>
          <w:rFonts w:hint="eastAsia" w:ascii="Times New Roman" w:hAnsi="Times New Roman" w:eastAsia="楷体_GB2312" w:cs="Times New Roman"/>
          <w:b/>
          <w:bCs w:val="0"/>
          <w:color w:val="000000"/>
          <w:sz w:val="32"/>
          <w:szCs w:val="32"/>
          <w:highlight w:val="none"/>
          <w:lang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Style w:val="8"/>
          <w:rFonts w:hint="eastAsia" w:ascii="Times New Roman" w:hAnsi="Times New Roman" w:eastAsia="楷体_GB2312" w:cs="Times New Roman"/>
          <w:b/>
          <w:bCs w:val="0"/>
          <w:color w:val="000000"/>
          <w:sz w:val="32"/>
          <w:szCs w:val="32"/>
          <w:highlight w:val="none"/>
          <w:lang w:val="en-US" w:eastAsia="zh-CN"/>
        </w:rPr>
        <w:t>（本级）</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兰溪市劳动人事争议仲裁院</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w:t>
      </w:r>
      <w:r>
        <w:rPr>
          <w:rFonts w:hint="eastAsia" w:ascii="Times New Roman" w:hAnsi="Times New Roman" w:eastAsia="楷体_GB2312" w:cs="Times New Roman"/>
          <w:b/>
          <w:bCs w:val="0"/>
          <w:color w:val="000000"/>
          <w:sz w:val="32"/>
          <w:szCs w:val="32"/>
          <w:highlight w:val="none"/>
          <w:lang w:eastAsia="zh-CN"/>
        </w:rPr>
        <w:t>兰溪市劳动人事争议仲裁院</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spacing w:line="560" w:lineRule="exact"/>
        <w:ind w:firstLine="640" w:firstLineChars="200"/>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兰溪市劳动人事争议仲裁院</w:t>
      </w:r>
      <w:r>
        <w:rPr>
          <w:rFonts w:hint="eastAsia" w:ascii="仿宋_GB2312" w:hAnsi="仿宋_GB2312" w:eastAsia="仿宋_GB2312" w:cs="仿宋_GB2312"/>
          <w:bCs/>
          <w:color w:val="000000"/>
          <w:kern w:val="2"/>
          <w:sz w:val="32"/>
          <w:szCs w:val="32"/>
        </w:rPr>
        <w:t>2022 年“三公”经费预算数为</w:t>
      </w: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lang w:val="en-US" w:eastAsia="zh-CN"/>
        </w:rPr>
        <w:t>97</w:t>
      </w:r>
      <w:r>
        <w:rPr>
          <w:rFonts w:hint="eastAsia" w:ascii="仿宋_GB2312" w:hAnsi="仿宋_GB2312" w:eastAsia="仿宋_GB2312" w:cs="仿宋_GB2312"/>
          <w:bCs/>
          <w:color w:val="000000"/>
          <w:kern w:val="2"/>
          <w:sz w:val="32"/>
          <w:szCs w:val="32"/>
        </w:rPr>
        <w:t>万元，</w:t>
      </w:r>
      <w:r>
        <w:rPr>
          <w:rFonts w:hint="default" w:ascii="Times New Roman" w:hAnsi="Times New Roman" w:eastAsia="仿宋_GB2312" w:cs="Times New Roman"/>
          <w:b w:val="0"/>
          <w:bCs/>
          <w:color w:val="000000"/>
          <w:kern w:val="2"/>
          <w:sz w:val="32"/>
          <w:szCs w:val="32"/>
          <w:highlight w:val="none"/>
        </w:rPr>
        <w:t>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eastAsia" w:ascii="Times New Roman" w:hAnsi="Times New Roman" w:eastAsia="仿宋_GB2312" w:cs="Times New Roman"/>
          <w:b w:val="0"/>
          <w:bCs/>
          <w:color w:val="000000"/>
          <w:sz w:val="32"/>
          <w:szCs w:val="32"/>
          <w:highlight w:val="none"/>
          <w:lang w:val="en-US" w:eastAsia="zh-CN"/>
        </w:rPr>
        <w:t>0.2</w:t>
      </w:r>
      <w:r>
        <w:rPr>
          <w:rFonts w:hint="default" w:ascii="Times New Roman" w:hAnsi="Times New Roman" w:eastAsia="仿宋_GB2312" w:cs="Times New Roman"/>
          <w:b w:val="0"/>
          <w:bCs/>
          <w:color w:val="000000"/>
          <w:kern w:val="2"/>
          <w:sz w:val="32"/>
          <w:szCs w:val="32"/>
          <w:highlight w:val="none"/>
        </w:rPr>
        <w:t>万元，增长</w:t>
      </w:r>
      <w:r>
        <w:rPr>
          <w:rFonts w:hint="eastAsia" w:ascii="Times New Roman" w:hAnsi="Times New Roman" w:eastAsia="仿宋_GB2312" w:cs="Times New Roman"/>
          <w:b w:val="0"/>
          <w:bCs/>
          <w:color w:val="000000"/>
          <w:sz w:val="32"/>
          <w:szCs w:val="32"/>
          <w:highlight w:val="none"/>
          <w:lang w:val="en-US" w:eastAsia="zh-CN"/>
        </w:rPr>
        <w:t>5.31</w:t>
      </w:r>
      <w:r>
        <w:rPr>
          <w:rFonts w:hint="default" w:ascii="Times New Roman" w:hAnsi="Times New Roman" w:eastAsia="仿宋_GB2312" w:cs="Times New Roman"/>
          <w:b w:val="0"/>
          <w:bCs/>
          <w:color w:val="000000"/>
          <w:kern w:val="2"/>
          <w:sz w:val="32"/>
          <w:szCs w:val="32"/>
          <w:highlight w:val="none"/>
          <w:lang w:val="en-US" w:eastAsia="zh-CN"/>
        </w:rPr>
        <w:t xml:space="preserve"> </w:t>
      </w:r>
      <w:r>
        <w:rPr>
          <w:rFonts w:hint="default" w:ascii="Times New Roman" w:hAnsi="Times New Roman" w:eastAsia="仿宋_GB2312" w:cs="Times New Roman"/>
          <w:b w:val="0"/>
          <w:bCs/>
          <w:color w:val="000000"/>
          <w:kern w:val="2"/>
          <w:sz w:val="32"/>
          <w:szCs w:val="32"/>
          <w:highlight w:val="none"/>
        </w:rPr>
        <w:t>%，</w:t>
      </w:r>
      <w:r>
        <w:rPr>
          <w:rFonts w:hint="eastAsia" w:ascii="仿宋_GB2312" w:hAnsi="仿宋_GB2312" w:eastAsia="仿宋_GB2312" w:cs="仿宋_GB2312"/>
          <w:bCs/>
          <w:color w:val="000000"/>
          <w:kern w:val="2"/>
          <w:sz w:val="32"/>
          <w:szCs w:val="32"/>
        </w:rPr>
        <w:t>具体如下：</w:t>
      </w:r>
    </w:p>
    <w:p>
      <w:pPr>
        <w:pStyle w:val="10"/>
        <w:spacing w:line="560" w:lineRule="exact"/>
        <w:ind w:firstLine="640" w:firstLineChars="200"/>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1.因公出国（境）费用：</w:t>
      </w:r>
      <w:r>
        <w:rPr>
          <w:rFonts w:hint="eastAsia" w:ascii="仿宋_GB2312" w:hAnsi="仿宋_GB2312" w:eastAsia="仿宋_GB2312" w:cs="仿宋_GB2312"/>
          <w:bCs/>
          <w:sz w:val="32"/>
          <w:szCs w:val="32"/>
        </w:rPr>
        <w:t>根据外事办安排的因公出国计划和实际工作需要，2022年安排因公出国（境）费用预算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%。主要用于预算单位人员的</w:t>
      </w:r>
      <w:r>
        <w:rPr>
          <w:rFonts w:hint="eastAsia" w:ascii="仿宋_GB2312" w:hAnsi="仿宋_GB2312" w:eastAsia="仿宋_GB2312" w:cs="仿宋_GB2312"/>
          <w:sz w:val="32"/>
          <w:szCs w:val="32"/>
        </w:rPr>
        <w:t>公务出国（境）的国际旅费、国外城市间交通费、住宿费、伙食费、培训费、公杂费等支出，不含教学科研人员学术交流</w:t>
      </w:r>
      <w:r>
        <w:rPr>
          <w:rFonts w:hint="eastAsia" w:ascii="仿宋_GB2312" w:hAnsi="仿宋_GB2312" w:eastAsia="仿宋_GB2312" w:cs="仿宋_GB2312"/>
          <w:bCs/>
          <w:sz w:val="32"/>
          <w:szCs w:val="32"/>
        </w:rPr>
        <w:t>公务出国（境）的国际旅费、国外城市间交通费、住宿费、伙食费、培训费、公杂费等支出。变动主要原因是无预算安排。</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auto"/>
          <w:sz w:val="32"/>
          <w:szCs w:val="32"/>
          <w:highlight w:val="none"/>
        </w:rPr>
      </w:pPr>
      <w:r>
        <w:rPr>
          <w:rFonts w:hint="eastAsia" w:ascii="仿宋_GB2312" w:hAnsi="仿宋_GB2312" w:eastAsia="仿宋_GB2312" w:cs="仿宋_GB2312"/>
          <w:bCs/>
          <w:sz w:val="32"/>
          <w:szCs w:val="32"/>
        </w:rPr>
        <w:t>2.公务接待费：</w:t>
      </w:r>
      <w:r>
        <w:rPr>
          <w:rFonts w:hint="eastAsia" w:ascii="仿宋_GB2312" w:hAnsi="仿宋_GB2312" w:eastAsia="仿宋_GB2312" w:cs="仿宋_GB2312"/>
          <w:bCs/>
          <w:color w:val="auto"/>
          <w:sz w:val="32"/>
          <w:szCs w:val="32"/>
        </w:rPr>
        <w:t>2022年安排公务接待费预算</w:t>
      </w:r>
      <w:r>
        <w:rPr>
          <w:rFonts w:hint="eastAsia" w:ascii="仿宋_GB2312" w:hAnsi="仿宋_GB2312" w:eastAsia="仿宋_GB2312" w:cs="仿宋_GB2312"/>
          <w:bCs/>
          <w:color w:val="auto"/>
          <w:sz w:val="32"/>
          <w:szCs w:val="32"/>
          <w:lang w:val="en-US" w:eastAsia="zh-CN"/>
        </w:rPr>
        <w:t>0.2</w:t>
      </w:r>
      <w:r>
        <w:rPr>
          <w:rFonts w:hint="eastAsia" w:ascii="仿宋_GB2312" w:hAnsi="仿宋_GB2312" w:eastAsia="仿宋_GB2312" w:cs="仿宋_GB2312"/>
          <w:bCs/>
          <w:color w:val="auto"/>
          <w:sz w:val="32"/>
          <w:szCs w:val="32"/>
        </w:rPr>
        <w:t>万元，比上年执行数增长</w:t>
      </w:r>
      <w:r>
        <w:rPr>
          <w:rFonts w:hint="eastAsia" w:ascii="仿宋_GB2312" w:hAnsi="仿宋_GB2312" w:eastAsia="仿宋_GB2312" w:cs="仿宋_GB2312"/>
          <w:bCs/>
          <w:color w:val="auto"/>
          <w:sz w:val="32"/>
          <w:szCs w:val="32"/>
          <w:lang w:val="en-US" w:eastAsia="zh-CN"/>
        </w:rPr>
        <w:t>10</w:t>
      </w:r>
      <w:r>
        <w:rPr>
          <w:rFonts w:hint="eastAsia" w:ascii="仿宋_GB2312" w:hAnsi="仿宋_GB2312" w:eastAsia="仿宋_GB2312" w:cs="仿宋_GB2312"/>
          <w:bCs/>
          <w:color w:val="auto"/>
          <w:sz w:val="32"/>
          <w:szCs w:val="32"/>
        </w:rPr>
        <w:t>0%。主要用于接待</w:t>
      </w:r>
      <w:r>
        <w:rPr>
          <w:rFonts w:ascii="仿宋_GB2312" w:hAnsi="宋体" w:eastAsia="仿宋_GB2312" w:cs="仿宋_GB2312"/>
          <w:color w:val="auto"/>
          <w:sz w:val="32"/>
          <w:szCs w:val="32"/>
          <w:shd w:val="clear" w:color="auto" w:fill="FFFFFF"/>
        </w:rPr>
        <w:t>上级及其他各县（市）单位来</w:t>
      </w:r>
      <w:r>
        <w:rPr>
          <w:rFonts w:hint="eastAsia" w:ascii="仿宋_GB2312" w:hAnsi="宋体" w:eastAsia="仿宋_GB2312" w:cs="仿宋_GB2312"/>
          <w:color w:val="auto"/>
          <w:sz w:val="32"/>
          <w:szCs w:val="32"/>
          <w:shd w:val="clear" w:color="auto" w:fill="FFFFFF"/>
        </w:rPr>
        <w:t>兰</w:t>
      </w:r>
      <w:r>
        <w:rPr>
          <w:rFonts w:ascii="仿宋_GB2312" w:hAnsi="宋体" w:eastAsia="仿宋_GB2312" w:cs="仿宋_GB2312"/>
          <w:color w:val="auto"/>
          <w:sz w:val="32"/>
          <w:szCs w:val="32"/>
          <w:shd w:val="clear" w:color="auto" w:fill="FFFFFF"/>
        </w:rPr>
        <w:t>调研、工作、学习等支出</w:t>
      </w:r>
      <w:r>
        <w:rPr>
          <w:rFonts w:hint="eastAsia" w:ascii="仿宋_GB2312" w:hAnsi="仿宋_GB2312" w:eastAsia="仿宋_GB2312" w:cs="仿宋_GB2312"/>
          <w:bCs/>
          <w:color w:val="auto"/>
          <w:sz w:val="32"/>
          <w:szCs w:val="32"/>
        </w:rPr>
        <w:t>。</w:t>
      </w:r>
      <w:r>
        <w:rPr>
          <w:rFonts w:hint="default" w:ascii="Times New Roman" w:hAnsi="Times New Roman" w:eastAsia="仿宋_GB2312" w:cs="Times New Roman"/>
          <w:b w:val="0"/>
          <w:bCs/>
          <w:color w:val="auto"/>
          <w:sz w:val="32"/>
          <w:szCs w:val="32"/>
          <w:highlight w:val="none"/>
          <w:lang w:eastAsia="zh-CN"/>
        </w:rPr>
        <w:t>增加的主要原因是</w:t>
      </w:r>
      <w:r>
        <w:rPr>
          <w:rFonts w:hint="default" w:ascii="Times New Roman" w:hAnsi="Times New Roman" w:eastAsia="仿宋_GB2312" w:cs="Times New Roman"/>
          <w:b w:val="0"/>
          <w:bCs/>
          <w:color w:val="auto"/>
          <w:sz w:val="32"/>
          <w:szCs w:val="32"/>
          <w:highlight w:val="none"/>
          <w:lang w:val="en-US" w:eastAsia="zh-CN"/>
        </w:rPr>
        <w:t>2021年预算数</w:t>
      </w:r>
      <w:r>
        <w:rPr>
          <w:rFonts w:hint="eastAsia" w:ascii="Times New Roman" w:hAnsi="Times New Roman" w:eastAsia="仿宋_GB2312" w:cs="Times New Roman"/>
          <w:b w:val="0"/>
          <w:bCs/>
          <w:color w:val="auto"/>
          <w:sz w:val="32"/>
          <w:szCs w:val="32"/>
          <w:highlight w:val="none"/>
          <w:lang w:val="en-US" w:eastAsia="zh-CN"/>
        </w:rPr>
        <w:t>也</w:t>
      </w:r>
      <w:r>
        <w:rPr>
          <w:rFonts w:hint="default" w:ascii="Times New Roman" w:hAnsi="Times New Roman" w:eastAsia="仿宋_GB2312" w:cs="Times New Roman"/>
          <w:b w:val="0"/>
          <w:bCs/>
          <w:color w:val="auto"/>
          <w:sz w:val="32"/>
          <w:szCs w:val="32"/>
          <w:highlight w:val="none"/>
          <w:lang w:val="en-US" w:eastAsia="zh-CN"/>
        </w:rPr>
        <w:t>为</w:t>
      </w:r>
      <w:r>
        <w:rPr>
          <w:rFonts w:hint="eastAsia" w:ascii="Times New Roman" w:hAnsi="Times New Roman" w:eastAsia="仿宋_GB2312" w:cs="Times New Roman"/>
          <w:b w:val="0"/>
          <w:bCs/>
          <w:color w:val="auto"/>
          <w:sz w:val="32"/>
          <w:szCs w:val="32"/>
          <w:highlight w:val="none"/>
          <w:lang w:val="en-US" w:eastAsia="zh-CN"/>
        </w:rPr>
        <w:t>0.2</w:t>
      </w:r>
      <w:r>
        <w:rPr>
          <w:rFonts w:hint="default" w:ascii="Times New Roman" w:hAnsi="Times New Roman" w:eastAsia="仿宋_GB2312" w:cs="Times New Roman"/>
          <w:b w:val="0"/>
          <w:bCs/>
          <w:color w:val="auto"/>
          <w:sz w:val="32"/>
          <w:szCs w:val="32"/>
          <w:highlight w:val="none"/>
          <w:lang w:val="en-US" w:eastAsia="zh-CN"/>
        </w:rPr>
        <w:t>万元</w:t>
      </w:r>
      <w:r>
        <w:rPr>
          <w:rFonts w:hint="eastAsia" w:ascii="Times New Roman" w:hAnsi="Times New Roman" w:eastAsia="仿宋_GB2312" w:cs="Times New Roman"/>
          <w:b w:val="0"/>
          <w:bCs/>
          <w:color w:val="auto"/>
          <w:sz w:val="32"/>
          <w:szCs w:val="32"/>
          <w:highlight w:val="none"/>
          <w:lang w:val="en-US" w:eastAsia="zh-CN"/>
        </w:rPr>
        <w:t>，预算与上年持平</w:t>
      </w:r>
      <w:r>
        <w:rPr>
          <w:rFonts w:hint="default" w:ascii="Times New Roman" w:hAnsi="Times New Roman" w:eastAsia="仿宋_GB2312" w:cs="Times New Roman"/>
          <w:b w:val="0"/>
          <w:bCs/>
          <w:color w:val="auto"/>
          <w:sz w:val="32"/>
          <w:szCs w:val="32"/>
          <w:highlight w:val="none"/>
          <w:lang w:eastAsia="zh-CN"/>
        </w:rPr>
        <w:t>。</w:t>
      </w:r>
    </w:p>
    <w:p>
      <w:pPr>
        <w:pStyle w:val="10"/>
        <w:spacing w:line="560" w:lineRule="exact"/>
        <w:ind w:firstLine="640" w:firstLineChars="200"/>
        <w:rPr>
          <w:rFonts w:hint="eastAsia" w:ascii="仿宋_GB2312" w:hAnsi="仿宋_GB2312" w:eastAsia="仿宋_GB2312" w:cs="仿宋_GB2312"/>
          <w:bCs/>
          <w:color w:val="0000FF"/>
          <w:sz w:val="32"/>
          <w:szCs w:val="32"/>
        </w:rPr>
      </w:pPr>
      <w:r>
        <w:rPr>
          <w:rFonts w:hint="eastAsia" w:ascii="仿宋_GB2312" w:hAnsi="仿宋_GB2312" w:eastAsia="仿宋_GB2312" w:cs="仿宋_GB2312"/>
          <w:bCs/>
          <w:sz w:val="32"/>
          <w:szCs w:val="32"/>
        </w:rPr>
        <w:t>3.公务用车购置及运行维护费：2022年安排公务用车购置及运行维护费预算3.77</w:t>
      </w:r>
      <w:r>
        <w:rPr>
          <w:rFonts w:hint="eastAsia" w:ascii="仿宋_GB2312" w:hAnsi="仿宋_GB2312" w:eastAsia="仿宋_GB2312" w:cs="仿宋_GB2312"/>
          <w:bCs/>
          <w:sz w:val="32"/>
          <w:szCs w:val="32"/>
          <w:lang w:val="en-US" w:eastAsia="zh-CN"/>
        </w:rPr>
        <w:t>00</w:t>
      </w:r>
      <w:r>
        <w:rPr>
          <w:rFonts w:hint="eastAsia" w:ascii="仿宋_GB2312" w:hAnsi="仿宋_GB2312" w:eastAsia="仿宋_GB2312" w:cs="仿宋_GB2312"/>
          <w:bCs/>
          <w:sz w:val="32"/>
          <w:szCs w:val="32"/>
        </w:rPr>
        <w:t>万元，比上年执行数增长0%。其中，公务用车购置支出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辆公务用车；公务用车运行维护费支出</w:t>
      </w:r>
      <w:r>
        <w:rPr>
          <w:rFonts w:hint="eastAsia" w:ascii="仿宋_GB2312" w:hAnsi="仿宋_GB2312" w:eastAsia="仿宋_GB2312" w:cs="仿宋_GB2312"/>
          <w:bCs/>
          <w:color w:val="000000"/>
          <w:sz w:val="32"/>
          <w:szCs w:val="32"/>
        </w:rPr>
        <w:t>3.77</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sz w:val="32"/>
          <w:szCs w:val="32"/>
        </w:rPr>
        <w:t>万元，主要用于机要通信和应急公务用车经费</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万元，和日常工作所需的公务用车燃料费、维修费、过桥过路费、保险费、安全奖励费用等支出</w:t>
      </w:r>
      <w:r>
        <w:rPr>
          <w:rFonts w:hint="eastAsia" w:ascii="仿宋_GB2312" w:hAnsi="仿宋_GB2312" w:eastAsia="仿宋_GB2312" w:cs="仿宋_GB2312"/>
          <w:bCs/>
          <w:color w:val="000000"/>
          <w:sz w:val="32"/>
          <w:szCs w:val="32"/>
        </w:rPr>
        <w:t>3.77</w:t>
      </w:r>
      <w:r>
        <w:rPr>
          <w:rFonts w:hint="eastAsia" w:ascii="仿宋_GB2312" w:hAnsi="仿宋_GB2312" w:eastAsia="仿宋_GB2312" w:cs="仿宋_GB2312"/>
          <w:bCs/>
          <w:color w:val="000000"/>
          <w:sz w:val="32"/>
          <w:szCs w:val="32"/>
          <w:lang w:val="en-US" w:eastAsia="zh-CN"/>
        </w:rPr>
        <w:t>00</w:t>
      </w:r>
      <w:r>
        <w:rPr>
          <w:rFonts w:hint="eastAsia" w:ascii="仿宋_GB2312" w:hAnsi="仿宋_GB2312" w:eastAsia="仿宋_GB2312" w:cs="仿宋_GB2312"/>
          <w:bCs/>
          <w:sz w:val="32"/>
          <w:szCs w:val="32"/>
        </w:rPr>
        <w:t>万元。</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pStyle w:val="10"/>
        <w:spacing w:line="560" w:lineRule="exact"/>
        <w:ind w:firstLine="60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1.机关运行经费</w:t>
      </w:r>
    </w:p>
    <w:p>
      <w:pPr>
        <w:pStyle w:val="1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2022年</w:t>
      </w:r>
      <w:r>
        <w:rPr>
          <w:rFonts w:hint="eastAsia" w:ascii="仿宋_GB2312" w:hAnsi="仿宋_GB2312" w:eastAsia="仿宋_GB2312" w:cs="仿宋_GB2312"/>
          <w:bCs/>
          <w:color w:val="000000"/>
          <w:sz w:val="32"/>
          <w:szCs w:val="32"/>
        </w:rPr>
        <w:t>兰溪市劳动人事争议仲裁院1家参公事业单位的机关运行经费财政拨款</w:t>
      </w:r>
      <w:r>
        <w:rPr>
          <w:rFonts w:hint="eastAsia" w:ascii="仿宋_GB2312" w:hAnsi="仿宋_GB2312" w:eastAsia="仿宋_GB2312" w:cs="仿宋_GB2312"/>
          <w:bCs/>
          <w:color w:val="auto"/>
          <w:sz w:val="32"/>
          <w:szCs w:val="32"/>
        </w:rPr>
        <w:t>预算</w:t>
      </w:r>
      <w:r>
        <w:rPr>
          <w:rFonts w:hint="eastAsia" w:ascii="仿宋_GB2312" w:hAnsi="仿宋_GB2312" w:eastAsia="仿宋_GB2312" w:cs="仿宋_GB2312"/>
          <w:bCs/>
          <w:color w:val="auto"/>
          <w:sz w:val="32"/>
          <w:szCs w:val="32"/>
          <w:lang w:val="en-US" w:eastAsia="zh-CN"/>
        </w:rPr>
        <w:t>14.56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color w:val="auto"/>
          <w:sz w:val="32"/>
          <w:szCs w:val="32"/>
        </w:rPr>
        <w:t>比2021年预算</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bCs/>
          <w:color w:val="auto"/>
          <w:sz w:val="32"/>
          <w:szCs w:val="32"/>
          <w:lang w:val="en-US" w:eastAsia="zh-CN"/>
        </w:rPr>
        <w:t>5.25</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w:t>
      </w:r>
      <w:r>
        <w:rPr>
          <w:rFonts w:hint="eastAsia" w:ascii="仿宋_GB2312" w:hAnsi="仿宋_GB2312" w:eastAsia="仿宋_GB2312" w:cs="仿宋_GB2312"/>
          <w:kern w:val="2"/>
          <w:sz w:val="32"/>
          <w:szCs w:val="32"/>
          <w:lang w:bidi="ar"/>
        </w:rPr>
        <w:t>，</w:t>
      </w:r>
      <w:r>
        <w:rPr>
          <w:rFonts w:hint="eastAsia" w:ascii="仿宋_GB2312" w:hAnsi="仿宋_GB2312" w:eastAsia="仿宋_GB2312" w:cs="仿宋_GB2312"/>
          <w:kern w:val="2"/>
          <w:sz w:val="32"/>
          <w:szCs w:val="32"/>
          <w:lang w:val="en-US" w:eastAsia="zh-CN" w:bidi="ar"/>
        </w:rPr>
        <w:t>增长56.33%，</w:t>
      </w:r>
      <w:r>
        <w:rPr>
          <w:rFonts w:hint="eastAsia" w:ascii="仿宋_GB2312" w:hAnsi="仿宋_GB2312" w:eastAsia="仿宋_GB2312" w:cs="仿宋_GB2312"/>
          <w:kern w:val="2"/>
          <w:sz w:val="32"/>
          <w:szCs w:val="32"/>
          <w:lang w:bidi="ar"/>
        </w:rPr>
        <w:t>主要是</w:t>
      </w:r>
      <w:r>
        <w:rPr>
          <w:rFonts w:hint="eastAsia" w:ascii="仿宋_GB2312" w:hAnsi="仿宋_GB2312" w:eastAsia="仿宋_GB2312" w:cs="仿宋_GB2312"/>
          <w:kern w:val="2"/>
          <w:sz w:val="32"/>
          <w:szCs w:val="32"/>
          <w:lang w:val="en-US" w:eastAsia="zh-CN" w:bidi="ar"/>
        </w:rPr>
        <w:t>参公人员新增3名</w:t>
      </w:r>
      <w:r>
        <w:rPr>
          <w:rFonts w:hint="eastAsia" w:ascii="仿宋_GB2312" w:hAnsi="仿宋_GB2312" w:eastAsia="仿宋_GB2312" w:cs="仿宋_GB2312"/>
          <w:kern w:val="2"/>
          <w:sz w:val="32"/>
          <w:szCs w:val="32"/>
          <w:lang w:bidi="ar"/>
        </w:rPr>
        <w:t>。</w:t>
      </w:r>
    </w:p>
    <w:p>
      <w:pPr>
        <w:pStyle w:val="10"/>
        <w:numPr>
          <w:ilvl w:val="0"/>
          <w:numId w:val="2"/>
        </w:numPr>
        <w:spacing w:line="56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pStyle w:val="1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2022年</w:t>
      </w:r>
      <w:r>
        <w:rPr>
          <w:rFonts w:hint="eastAsia" w:ascii="仿宋_GB2312" w:hAnsi="仿宋_GB2312" w:eastAsia="仿宋_GB2312" w:cs="仿宋_GB2312"/>
          <w:bCs/>
          <w:color w:val="000000"/>
          <w:sz w:val="32"/>
          <w:szCs w:val="32"/>
        </w:rPr>
        <w:t>兰溪市劳动人事争议仲裁院政府采购预算总额0万元，其中：政府采购货物预算0万元、政府采购工程预算0万元、政府采购服务预算0万元。</w:t>
      </w:r>
    </w:p>
    <w:p>
      <w:pPr>
        <w:pStyle w:val="10"/>
        <w:spacing w:line="560" w:lineRule="exact"/>
        <w:ind w:firstLine="64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3.国有资产占有使用情况    </w:t>
      </w:r>
    </w:p>
    <w:p>
      <w:pPr>
        <w:pStyle w:val="1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截至2020年12月31日，兰溪市劳动人事争议仲裁院预算单位共有车</w:t>
      </w:r>
      <w:r>
        <w:rPr>
          <w:rFonts w:hint="eastAsia" w:ascii="仿宋_GB2312" w:hAnsi="仿宋_GB2312" w:eastAsia="仿宋_GB2312" w:cs="仿宋_GB2312"/>
          <w:bCs/>
          <w:color w:val="auto"/>
          <w:sz w:val="32"/>
          <w:szCs w:val="32"/>
        </w:rPr>
        <w:t>辆1辆，(本单位只有使用权，归属权属于机关事务管理服务中心）</w:t>
      </w:r>
      <w:bookmarkStart w:id="0" w:name="_GoBack"/>
      <w:r>
        <w:rPr>
          <w:rFonts w:hint="eastAsia" w:ascii="仿宋_GB2312" w:hAnsi="仿宋_GB2312" w:eastAsia="仿宋_GB2312" w:cs="仿宋_GB2312"/>
          <w:bCs/>
          <w:color w:val="auto"/>
          <w:sz w:val="32"/>
          <w:szCs w:val="32"/>
        </w:rPr>
        <w:t>其中，领导用车0辆、应急机要通信用车0辆、一般执法执勤用车0辆、行政执法专用车1辆、特种专业技术用车</w:t>
      </w:r>
      <w:r>
        <w:rPr>
          <w:rFonts w:hint="eastAsia" w:ascii="仿宋_GB2312" w:hAnsi="仿宋_GB2312" w:eastAsia="仿宋_GB2312" w:cs="仿宋_GB2312"/>
          <w:bCs/>
          <w:color w:val="000000"/>
          <w:sz w:val="32"/>
          <w:szCs w:val="32"/>
        </w:rPr>
        <w:t>0辆、老干部服务用车0辆、其他用车0辆。</w:t>
      </w:r>
      <w:bookmarkEnd w:id="0"/>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pStyle w:val="1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2022年部门预算未安排购置</w:t>
      </w:r>
      <w:r>
        <w:rPr>
          <w:rFonts w:hint="eastAsia" w:ascii="仿宋_GB2312" w:hAnsi="仿宋_GB2312" w:eastAsia="仿宋_GB2312" w:cs="仿宋_GB2312"/>
          <w:sz w:val="32"/>
          <w:szCs w:val="32"/>
        </w:rPr>
        <w:t>车辆、单位价值50万元以上通用设备及单位价值100万元以上专用设备</w:t>
      </w:r>
      <w:r>
        <w:rPr>
          <w:rFonts w:hint="eastAsia" w:ascii="仿宋_GB2312" w:hAnsi="仿宋_GB2312" w:eastAsia="仿宋_GB2312" w:cs="仿宋_GB2312"/>
          <w:bCs/>
          <w:color w:val="000000"/>
          <w:sz w:val="32"/>
          <w:szCs w:val="32"/>
        </w:rPr>
        <w:t>。</w:t>
      </w:r>
    </w:p>
    <w:p>
      <w:pPr>
        <w:pStyle w:val="10"/>
        <w:spacing w:line="560" w:lineRule="exact"/>
        <w:rPr>
          <w:rFonts w:hint="eastAsia"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4.绩效目标设置情况</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sz w:val="32"/>
          <w:szCs w:val="32"/>
        </w:rPr>
        <w:t xml:space="preserve"> 2022年</w:t>
      </w:r>
      <w:r>
        <w:rPr>
          <w:rFonts w:hint="eastAsia" w:ascii="仿宋_GB2312" w:hAnsi="仿宋_GB2312" w:eastAsia="仿宋_GB2312" w:cs="仿宋_GB2312"/>
          <w:bCs/>
          <w:color w:val="000000"/>
          <w:sz w:val="32"/>
          <w:szCs w:val="32"/>
        </w:rPr>
        <w:t>兰溪市劳动人事争议仲裁院其他运转类和特定目标类项目均实行绩效目标管理，涉及一般公共预算当年拨款  22.4</w:t>
      </w:r>
      <w:r>
        <w:rPr>
          <w:rFonts w:hint="eastAsia" w:ascii="仿宋_GB2312" w:hAnsi="仿宋_GB2312" w:eastAsia="仿宋_GB2312" w:cs="仿宋_GB2312"/>
          <w:bCs/>
          <w:color w:val="000000"/>
          <w:sz w:val="32"/>
          <w:szCs w:val="32"/>
          <w:lang w:val="en-US" w:eastAsia="zh-CN"/>
        </w:rPr>
        <w:t>000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val="en-US" w:eastAsia="zh-CN"/>
        </w:rPr>
        <w:t>一级项目2个。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Style w:val="8"/>
          <w:rFonts w:hint="eastAsia" w:ascii="Times New Roman" w:hAnsi="Times New Roman" w:eastAsia="楷体_GB2312" w:cs="Times New Roman"/>
          <w:b/>
          <w:bCs w:val="0"/>
          <w:color w:val="00000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8"/>
          <w:rFonts w:hint="eastAsia" w:ascii="Times New Roman" w:hAnsi="Times New Roman" w:eastAsia="楷体_GB2312" w:cs="Times New Roman"/>
          <w:b/>
          <w:bCs w:val="0"/>
          <w:color w:val="000000"/>
          <w:sz w:val="32"/>
          <w:szCs w:val="32"/>
          <w:highlight w:val="none"/>
          <w:lang w:val="en-US" w:eastAsia="zh-CN"/>
        </w:rPr>
        <w:t>四</w:t>
      </w:r>
      <w:r>
        <w:rPr>
          <w:rStyle w:val="8"/>
          <w:rFonts w:hint="default" w:ascii="Times New Roman" w:hAnsi="Times New Roman" w:eastAsia="楷体_GB2312" w:cs="Times New Roman"/>
          <w:b/>
          <w:bCs w:val="0"/>
          <w:color w:val="000000"/>
          <w:sz w:val="32"/>
          <w:szCs w:val="32"/>
          <w:highlight w:val="none"/>
          <w:lang w:eastAsia="zh-CN"/>
        </w:rPr>
        <w:t>、</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eastAsia" w:ascii="Times New Roman" w:hAnsi="Times New Roman" w:eastAsia="楷体_GB2312" w:cs="Times New Roman"/>
          <w:b/>
          <w:bCs w:val="0"/>
          <w:color w:val="000000"/>
          <w:sz w:val="32"/>
          <w:szCs w:val="32"/>
          <w:highlight w:val="none"/>
          <w:lang w:val="en-US" w:eastAsia="zh-CN"/>
        </w:rPr>
        <w:t>兰溪市劳动人事争议仲裁院</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w:t>
      </w:r>
      <w:r>
        <w:rPr>
          <w:rStyle w:val="8"/>
          <w:rFonts w:hint="eastAsia" w:ascii="Times New Roman" w:hAnsi="Times New Roman" w:eastAsia="楷体_GB2312" w:cs="Times New Roman"/>
          <w:b/>
          <w:bCs w:val="0"/>
          <w:color w:val="000000"/>
          <w:sz w:val="32"/>
          <w:szCs w:val="32"/>
          <w:highlight w:val="none"/>
          <w:lang w:val="en-US" w:eastAsia="zh-CN"/>
        </w:rPr>
        <w:t>表</w:t>
      </w:r>
    </w:p>
    <w:tbl>
      <w:tblPr>
        <w:tblStyle w:val="5"/>
        <w:tblW w:w="12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100"/>
        <w:gridCol w:w="3474"/>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0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131.2757</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131.2757</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0"/>
                <w:szCs w:val="20"/>
                <w:u w:val="none"/>
                <w:lang w:val="en-US"/>
              </w:rPr>
            </w:pPr>
            <w:r>
              <w:rPr>
                <w:rFonts w:hint="eastAsia" w:ascii="宋体" w:hAnsi="宋体" w:eastAsia="宋体" w:cs="宋体"/>
                <w:i w:val="0"/>
                <w:iCs w:val="0"/>
                <w:color w:val="000000"/>
                <w:kern w:val="0"/>
                <w:sz w:val="20"/>
                <w:szCs w:val="20"/>
                <w:u w:val="none"/>
                <w:lang w:val="en-US" w:eastAsia="zh-CN" w:bidi="ar"/>
              </w:rPr>
              <w:t>　　</w:t>
            </w:r>
            <w:r>
              <w:rPr>
                <w:rFonts w:hint="eastAsia" w:ascii="宋体" w:hAnsi="宋体" w:cs="宋体"/>
                <w:i w:val="0"/>
                <w:iCs w:val="0"/>
                <w:color w:val="000000"/>
                <w:kern w:val="0"/>
                <w:sz w:val="20"/>
                <w:szCs w:val="20"/>
                <w:u w:val="none"/>
                <w:lang w:val="en-US" w:eastAsia="zh-CN" w:bidi="ar"/>
              </w:rPr>
              <w:t>劳动关系和维权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rPr>
            </w:pPr>
            <w:r>
              <w:rPr>
                <w:rFonts w:hint="eastAsia" w:ascii="宋体" w:hAnsi="宋体" w:cs="宋体"/>
                <w:i w:val="0"/>
                <w:iCs w:val="0"/>
                <w:color w:val="000000"/>
                <w:kern w:val="2"/>
                <w:sz w:val="20"/>
                <w:szCs w:val="20"/>
                <w:u w:val="none"/>
                <w:lang w:val="en-US" w:eastAsia="zh-CN"/>
              </w:rPr>
              <w:t>131.2757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r>
    </w:tbl>
    <w:p>
      <w:pPr>
        <w:pStyle w:val="3"/>
        <w:rPr>
          <w:rFonts w:hint="eastAsia"/>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eastAsia"/>
          <w:lang w:val="en-US" w:eastAsia="zh-CN"/>
        </w:r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16"/>
        <w:gridCol w:w="1170"/>
        <w:gridCol w:w="1170"/>
        <w:gridCol w:w="1140"/>
        <w:gridCol w:w="499"/>
        <w:gridCol w:w="489"/>
        <w:gridCol w:w="489"/>
        <w:gridCol w:w="487"/>
        <w:gridCol w:w="465"/>
        <w:gridCol w:w="507"/>
        <w:gridCol w:w="498"/>
        <w:gridCol w:w="465"/>
        <w:gridCol w:w="493"/>
        <w:gridCol w:w="500"/>
        <w:gridCol w:w="493"/>
        <w:gridCol w:w="512"/>
        <w:gridCol w:w="49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6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7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w:t>
            </w:r>
            <w:r>
              <w:rPr>
                <w:rFonts w:hint="eastAsia" w:ascii="宋体" w:hAnsi="宋体" w:cs="宋体"/>
                <w:i w:val="0"/>
                <w:iCs w:val="0"/>
                <w:color w:val="000000"/>
                <w:kern w:val="0"/>
                <w:sz w:val="20"/>
                <w:szCs w:val="20"/>
                <w:u w:val="none"/>
                <w:lang w:val="en-US" w:eastAsia="zh-CN" w:bidi="ar"/>
              </w:rPr>
              <w:t>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133.6484</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96"/>
        <w:gridCol w:w="3120"/>
        <w:gridCol w:w="1410"/>
        <w:gridCol w:w="1575"/>
        <w:gridCol w:w="409"/>
        <w:gridCol w:w="926"/>
        <w:gridCol w:w="1230"/>
        <w:gridCol w:w="558"/>
        <w:gridCol w:w="582"/>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5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31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984"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92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23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55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58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75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6" w:hRule="atLeast"/>
        </w:trPr>
        <w:tc>
          <w:tcPr>
            <w:tcW w:w="2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133.6484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96.6884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2"/>
                <w:szCs w:val="22"/>
                <w:u w:val="none"/>
                <w:lang w:val="en-US"/>
              </w:rPr>
            </w:pPr>
            <w:r>
              <w:rPr>
                <w:rFonts w:hint="eastAsia" w:ascii="宋体" w:hAnsi="宋体" w:eastAsia="宋体" w:cs="宋体"/>
                <w:i w:val="0"/>
                <w:iCs w:val="0"/>
                <w:color w:val="000000"/>
                <w:kern w:val="0"/>
                <w:sz w:val="22"/>
                <w:szCs w:val="22"/>
                <w:u w:val="none"/>
                <w:lang w:val="en-US" w:eastAsia="zh-CN" w:bidi="ar"/>
              </w:rPr>
              <w:t>　　2080110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0"/>
                <w:szCs w:val="20"/>
                <w:u w:val="none"/>
                <w:lang w:val="en-US"/>
              </w:rPr>
            </w:pPr>
            <w:r>
              <w:rPr>
                <w:rFonts w:hint="eastAsia" w:ascii="宋体" w:hAnsi="宋体" w:eastAsia="宋体" w:cs="宋体"/>
                <w:i w:val="0"/>
                <w:iCs w:val="0"/>
                <w:color w:val="000000"/>
                <w:kern w:val="0"/>
                <w:sz w:val="20"/>
                <w:szCs w:val="20"/>
                <w:u w:val="none"/>
                <w:lang w:val="en-US" w:eastAsia="zh-CN" w:bidi="ar"/>
              </w:rPr>
              <w:t>　　劳动关系和维权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2"/>
                <w:szCs w:val="22"/>
                <w:u w:val="none"/>
                <w:lang w:val="en-US"/>
              </w:rPr>
            </w:pPr>
            <w:r>
              <w:rPr>
                <w:rFonts w:hint="eastAsia" w:ascii="宋体" w:hAnsi="宋体" w:eastAsia="宋体" w:cs="宋体"/>
                <w:i w:val="0"/>
                <w:iCs w:val="0"/>
                <w:color w:val="000000"/>
                <w:kern w:val="0"/>
                <w:sz w:val="22"/>
                <w:szCs w:val="22"/>
                <w:u w:val="none"/>
                <w:lang w:val="en-US" w:eastAsia="zh-CN" w:bidi="ar"/>
              </w:rPr>
              <w:t>210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tbl>
      <w:tblPr>
        <w:tblStyle w:val="5"/>
        <w:tblW w:w="125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72"/>
        <w:gridCol w:w="344"/>
        <w:gridCol w:w="2475"/>
        <w:gridCol w:w="3420"/>
        <w:gridCol w:w="1697"/>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501"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24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4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133.6484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133.6484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r>
    </w:tbl>
    <w:p>
      <w:pPr>
        <w:pStyle w:val="3"/>
        <w:rPr>
          <w:rFonts w:hint="default"/>
          <w:lang w:eastAsia="zh-CN"/>
        </w:rPr>
      </w:pPr>
    </w:p>
    <w:p>
      <w:pPr>
        <w:rPr>
          <w:rFonts w:hint="default"/>
          <w:lang w:eastAsia="zh-CN"/>
        </w:rPr>
      </w:pPr>
    </w:p>
    <w:p>
      <w:pPr>
        <w:pStyle w:val="2"/>
        <w:rPr>
          <w:rFonts w:hint="default"/>
          <w:lang w:eastAsia="zh-CN"/>
        </w:rPr>
      </w:pPr>
    </w:p>
    <w:p>
      <w:pPr>
        <w:pStyle w:val="2"/>
        <w:rPr>
          <w:rFonts w:hint="default"/>
          <w:lang w:eastAsia="zh-CN"/>
        </w:rPr>
      </w:pPr>
    </w:p>
    <w:p>
      <w:pPr>
        <w:pStyle w:val="2"/>
        <w:rPr>
          <w:rFonts w:hint="default"/>
          <w:lang w:eastAsia="zh-CN"/>
        </w:rPr>
      </w:pPr>
    </w:p>
    <w:tbl>
      <w:tblPr>
        <w:tblStyle w:val="5"/>
        <w:tblW w:w="12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16"/>
        <w:gridCol w:w="1983"/>
        <w:gridCol w:w="1560"/>
        <w:gridCol w:w="1548"/>
        <w:gridCol w:w="12"/>
        <w:gridCol w:w="1537"/>
        <w:gridCol w:w="6"/>
        <w:gridCol w:w="1543"/>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5"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198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43"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4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133.6484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111.2484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 xml:space="preserve">96.6884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0"/>
                <w:szCs w:val="20"/>
                <w:u w:val="none"/>
                <w:lang w:val="en-US"/>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 xml:space="preserve">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0"/>
                <w:szCs w:val="20"/>
                <w:u w:val="none"/>
                <w:lang w:val="en-US"/>
              </w:rPr>
            </w:pPr>
            <w:r>
              <w:rPr>
                <w:rFonts w:hint="eastAsia" w:ascii="宋体" w:hAnsi="宋体" w:eastAsia="宋体" w:cs="宋体"/>
                <w:i w:val="0"/>
                <w:iCs w:val="0"/>
                <w:color w:val="000000"/>
                <w:kern w:val="0"/>
                <w:sz w:val="20"/>
                <w:szCs w:val="20"/>
                <w:u w:val="none"/>
                <w:lang w:val="en-US" w:eastAsia="zh-CN" w:bidi="ar"/>
              </w:rPr>
              <w:t>210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 xml:space="preserve">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sz w:val="28"/>
          <w:szCs w:val="28"/>
          <w:lang w:eastAsia="zh-CN"/>
        </w:rPr>
      </w:pPr>
    </w:p>
    <w:tbl>
      <w:tblPr>
        <w:tblStyle w:val="5"/>
        <w:tblW w:w="12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48"/>
        <w:gridCol w:w="1368"/>
        <w:gridCol w:w="2295"/>
        <w:gridCol w:w="1980"/>
        <w:gridCol w:w="330"/>
        <w:gridCol w:w="1845"/>
        <w:gridCol w:w="465"/>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741"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22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2175"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9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66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111.2484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96.6884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96.6884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96.6884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15.5844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15.5844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19.5060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19.5060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40.7707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40.7707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5.4233</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5.4233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2.7117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2.7117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27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2.3727</w:t>
            </w:r>
            <w:r>
              <w:rPr>
                <w:rFonts w:hint="eastAsia" w:ascii="宋体" w:hAnsi="宋体" w:eastAsia="宋体" w:cs="宋体"/>
                <w:i w:val="0"/>
                <w:iCs w:val="0"/>
                <w:color w:val="000000"/>
                <w:kern w:val="0"/>
                <w:sz w:val="20"/>
                <w:szCs w:val="20"/>
                <w:u w:val="none"/>
                <w:lang w:val="en-US" w:eastAsia="zh-CN" w:bidi="ar"/>
              </w:rPr>
              <w:t>27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0.0678</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0.0678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7.2518</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7.2518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14.5600</w:t>
            </w: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0.2000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公务用车运行维护费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3.7900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2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17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77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tbl>
      <w:tblPr>
        <w:tblStyle w:val="5"/>
        <w:tblW w:w="127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4"/>
        <w:gridCol w:w="1540"/>
        <w:gridCol w:w="1540"/>
        <w:gridCol w:w="566"/>
        <w:gridCol w:w="479"/>
        <w:gridCol w:w="495"/>
        <w:gridCol w:w="479"/>
        <w:gridCol w:w="479"/>
        <w:gridCol w:w="582"/>
        <w:gridCol w:w="1643"/>
        <w:gridCol w:w="1080"/>
        <w:gridCol w:w="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1" w:type="dxa"/>
          <w:trHeight w:val="690" w:hRule="atLeast"/>
        </w:trPr>
        <w:tc>
          <w:tcPr>
            <w:tcW w:w="12165"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p>
          <w:p>
            <w:pPr>
              <w:pStyle w:val="3"/>
              <w:widowControl/>
              <w:suppressLineNumbers w:val="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1" w:type="dxa"/>
          <w:trHeight w:val="390" w:hRule="atLeast"/>
        </w:trPr>
        <w:tc>
          <w:tcPr>
            <w:tcW w:w="715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47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47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47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47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47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62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6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3.9700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兰溪市劳动人事争议仲裁院</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3.9700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3.7700</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0.2000</w:t>
            </w:r>
          </w:p>
        </w:tc>
      </w:tr>
    </w:tbl>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tbl>
      <w:tblPr>
        <w:tblStyle w:val="5"/>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1"/>
        <w:gridCol w:w="2430"/>
        <w:gridCol w:w="2760"/>
        <w:gridCol w:w="256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7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5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tbl>
      <w:tblPr>
        <w:tblStyle w:val="5"/>
        <w:tblpPr w:leftFromText="180" w:rightFromText="180" w:vertAnchor="text" w:horzAnchor="page" w:tblpX="1911" w:tblpY="99"/>
        <w:tblOverlap w:val="never"/>
        <w:tblW w:w="14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6"/>
        <w:gridCol w:w="429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4290"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rPr>
          <w:rFonts w:hint="default"/>
          <w:lang w:eastAsia="zh-CN"/>
        </w:rPr>
      </w:pPr>
    </w:p>
    <w:p>
      <w:pPr>
        <w:pStyle w:val="2"/>
        <w:rPr>
          <w:rFonts w:hint="default"/>
          <w:lang w:eastAsia="zh-CN"/>
        </w:rPr>
      </w:pPr>
    </w:p>
    <w:p>
      <w:pPr>
        <w:pStyle w:val="2"/>
        <w:rPr>
          <w:rFonts w:hint="default"/>
          <w:lang w:eastAsia="zh-CN"/>
        </w:rPr>
      </w:pPr>
    </w:p>
    <w:p>
      <w:pPr>
        <w:pStyle w:val="2"/>
        <w:rPr>
          <w:rFonts w:hint="default"/>
          <w:lang w:eastAsia="zh-CN"/>
        </w:rPr>
      </w:pPr>
    </w:p>
    <w:p>
      <w:pPr>
        <w:pStyle w:val="2"/>
        <w:rPr>
          <w:rFonts w:hint="default"/>
          <w:lang w:eastAsia="zh-CN"/>
        </w:rPr>
      </w:pPr>
    </w:p>
    <w:tbl>
      <w:tblPr>
        <w:tblStyle w:val="5"/>
        <w:tblpPr w:leftFromText="180" w:rightFromText="180" w:vertAnchor="text" w:horzAnchor="page" w:tblpX="1746" w:tblpY="31"/>
        <w:tblOverlap w:val="never"/>
        <w:tblW w:w="14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201010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兰溪市劳动人事争议仲裁院</w:t>
            </w:r>
          </w:p>
        </w:tc>
        <w:tc>
          <w:tcPr>
            <w:tcW w:w="323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6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75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8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9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85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2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cs="宋体"/>
                <w:i w:val="0"/>
                <w:iCs w:val="0"/>
                <w:color w:val="000000"/>
                <w:kern w:val="0"/>
                <w:sz w:val="20"/>
                <w:szCs w:val="20"/>
                <w:u w:val="none"/>
                <w:lang w:val="en-US" w:eastAsia="zh-CN" w:bidi="ar"/>
              </w:rPr>
              <w:t>22.4000</w:t>
            </w:r>
            <w:r>
              <w:rPr>
                <w:rFonts w:hint="eastAsia" w:ascii="宋体" w:hAnsi="宋体" w:eastAsia="宋体" w:cs="宋体"/>
                <w:i w:val="0"/>
                <w:iCs w:val="0"/>
                <w:color w:val="000000"/>
                <w:kern w:val="0"/>
                <w:sz w:val="20"/>
                <w:szCs w:val="20"/>
                <w:u w:val="none"/>
                <w:lang w:val="en-US" w:eastAsia="zh-CN" w:bidi="ar"/>
              </w:rPr>
              <w:t>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兰溪市劳动人事争议仲裁院</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劳动关系和维权</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18.4000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18.4000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兰溪市劳动人事争议仲裁院</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仲裁业务经费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default"/>
          <w:lang w:val="en-US" w:eastAsia="zh-CN"/>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1F02344"/>
    <w:rsid w:val="05026850"/>
    <w:rsid w:val="056D3576"/>
    <w:rsid w:val="05E256B5"/>
    <w:rsid w:val="06783AC4"/>
    <w:rsid w:val="08AF427B"/>
    <w:rsid w:val="092A2287"/>
    <w:rsid w:val="0E8C67C5"/>
    <w:rsid w:val="15727896"/>
    <w:rsid w:val="16CA1759"/>
    <w:rsid w:val="17A600E6"/>
    <w:rsid w:val="19A9171D"/>
    <w:rsid w:val="1E105853"/>
    <w:rsid w:val="1F5256A3"/>
    <w:rsid w:val="20807B59"/>
    <w:rsid w:val="21856152"/>
    <w:rsid w:val="245C222E"/>
    <w:rsid w:val="258F3D90"/>
    <w:rsid w:val="2D4505BC"/>
    <w:rsid w:val="2F9F6001"/>
    <w:rsid w:val="36CD5E97"/>
    <w:rsid w:val="37505171"/>
    <w:rsid w:val="37BF7959"/>
    <w:rsid w:val="3ABC647F"/>
    <w:rsid w:val="468C79ED"/>
    <w:rsid w:val="48B65B6A"/>
    <w:rsid w:val="4A504E51"/>
    <w:rsid w:val="4D7C1C91"/>
    <w:rsid w:val="4E396891"/>
    <w:rsid w:val="4FDB00B1"/>
    <w:rsid w:val="502318C8"/>
    <w:rsid w:val="50BA64F2"/>
    <w:rsid w:val="54063266"/>
    <w:rsid w:val="5A3C3E50"/>
    <w:rsid w:val="5B4402BB"/>
    <w:rsid w:val="5FD006E5"/>
    <w:rsid w:val="739677FC"/>
    <w:rsid w:val="769D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 w:type="character" w:customStyle="1" w:styleId="11">
    <w:name w:val="标题 3 Char"/>
    <w:basedOn w:val="6"/>
    <w:link w:val="3"/>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2022-03-07T02:00:11Z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