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兰溪市发展和改革局</w:t>
      </w:r>
      <w:r>
        <w:rPr>
          <w:rFonts w:hint="eastAsia" w:ascii="方正小标宋简体" w:eastAsia="方正小标宋简体"/>
          <w:sz w:val="44"/>
          <w:szCs w:val="44"/>
        </w:rPr>
        <w:t>2021</w:t>
      </w:r>
      <w:r>
        <w:rPr>
          <w:rFonts w:hint="eastAsia" w:ascii="方正小标宋简体" w:hAnsi="宋体" w:eastAsia="方正小标宋简体"/>
          <w:sz w:val="44"/>
          <w:szCs w:val="44"/>
        </w:rPr>
        <w:t>年度</w:t>
      </w:r>
      <w:r>
        <w:rPr>
          <w:rFonts w:hint="eastAsia" w:ascii="方正小标宋简体" w:hAnsi="宋体" w:eastAsia="方正小标宋简体"/>
          <w:sz w:val="44"/>
          <w:szCs w:val="44"/>
          <w:lang w:eastAsia="zh-CN"/>
        </w:rPr>
        <w:t>部门</w:t>
      </w:r>
      <w:r>
        <w:rPr>
          <w:rFonts w:hint="eastAsia" w:ascii="方正小标宋简体" w:hAnsi="宋体" w:eastAsia="方正小标宋简体"/>
          <w:sz w:val="44"/>
          <w:szCs w:val="44"/>
        </w:rPr>
        <w:t>决算</w:t>
      </w:r>
    </w:p>
    <w:p>
      <w:pPr>
        <w:jc w:val="left"/>
        <w:rPr>
          <w:rFonts w:hint="eastAsia" w:ascii="宋体" w:hAnsi="宋体"/>
          <w:sz w:val="28"/>
          <w:szCs w:val="28"/>
        </w:rPr>
      </w:pPr>
    </w:p>
    <w:p>
      <w:pPr>
        <w:spacing w:line="324" w:lineRule="auto"/>
        <w:ind w:firstLine="562" w:firstLineChars="200"/>
        <w:rPr>
          <w:rFonts w:hint="eastAsia" w:ascii="黑体" w:hAnsi="黑体" w:eastAsia="黑体"/>
          <w:b/>
          <w:color w:val="000000"/>
          <w:sz w:val="28"/>
          <w:szCs w:val="28"/>
          <w:highlight w:val="white"/>
        </w:rPr>
      </w:pPr>
      <w:r>
        <w:rPr>
          <w:rFonts w:hint="eastAsia" w:ascii="黑体" w:hAnsi="黑体" w:eastAsia="黑体"/>
          <w:b/>
          <w:color w:val="000000"/>
          <w:sz w:val="28"/>
          <w:szCs w:val="28"/>
          <w:highlight w:val="white"/>
        </w:rPr>
        <w:t>一、概况</w:t>
      </w:r>
    </w:p>
    <w:p>
      <w:pPr>
        <w:spacing w:line="324" w:lineRule="auto"/>
        <w:ind w:firstLine="562" w:firstLineChars="200"/>
        <w:rPr>
          <w:rFonts w:hint="eastAsia" w:ascii="黑体" w:hAnsi="黑体" w:eastAsia="黑体"/>
          <w:b/>
          <w:color w:val="000000"/>
          <w:sz w:val="28"/>
          <w:szCs w:val="28"/>
          <w:highlight w:val="white"/>
        </w:rPr>
      </w:pPr>
      <w:r>
        <w:rPr>
          <w:rFonts w:hint="eastAsia" w:ascii="楷体" w:hAnsi="楷体" w:eastAsia="楷体"/>
          <w:b/>
          <w:color w:val="000000"/>
          <w:sz w:val="28"/>
          <w:szCs w:val="28"/>
          <w:highlight w:val="white"/>
        </w:rPr>
        <w:t>（一）部门职责</w:t>
      </w:r>
    </w:p>
    <w:p>
      <w:pPr>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拟订并组织实施全市国民经济和社会发展战略、中长期规划和年度计划。牵头组织全市统一规划体系建设，负责市级专项规划、区域规划、空间规划与全市发展规划的统筹衔接。负责全市社会总需求和总供给等重要总量平衡和重大比例关系的协调，提出经济社会发展、重大结构优化、现代化经济体系、高质量发展的目标、任务以及相关政策。起草发展改革领域有关地方性法规、规章草案。负责重大战略规划、重大政策的评估督导工作。</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组织拟订区域协调发展战略、规划和相关政策，引导和促进区域经济协调发展。统筹推动全市长三角一体化发展、长江经济带等国家重大区域发展战略。组织编制并推动实施全市新型城镇化规划。牵头实施全市重大平台整合提升。</w:t>
      </w:r>
    </w:p>
    <w:p>
      <w:pPr>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hAnsi="宋体" w:eastAsia="仿宋_GB2312"/>
          <w:sz w:val="28"/>
          <w:szCs w:val="28"/>
        </w:rPr>
        <w:t>统筹推进可持续发展战略，拟订和组织实施绿色发展相关战略、规划和政策。制定和实施循环经济发展规划及政策。推动生态文明建设和改革，参与编制生态建设规划，协调生态环境保护与修复、能源资源节约和综合利用等工作。提出健全生态保护补偿机制的政策措施，综合协调环保产业和清洁生产促进有关工作。</w:t>
      </w:r>
    </w:p>
    <w:p>
      <w:pPr>
        <w:ind w:firstLine="560"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hAnsi="宋体" w:eastAsia="仿宋_GB2312"/>
          <w:sz w:val="28"/>
          <w:szCs w:val="28"/>
        </w:rPr>
        <w:t>负责重大基础设施的综合管理。规划重大基础设施布局，协调推进重大基础设施建设发展。审核能源发展战略、重大规划、重大产业支持、重大改革方案和重大投资项目，推动能源结构调整。统筹协调综合交通发展有关重大问题，综合协调铁路和通用航空业，衔接平衡交通发展规划。</w:t>
      </w:r>
    </w:p>
    <w:p>
      <w:pPr>
        <w:ind w:firstLine="560" w:firstLineChars="200"/>
        <w:rPr>
          <w:rFonts w:hint="eastAsia" w:ascii="仿宋_GB2312" w:eastAsia="仿宋_GB2312"/>
          <w:sz w:val="28"/>
          <w:szCs w:val="28"/>
        </w:rPr>
      </w:pPr>
      <w:r>
        <w:rPr>
          <w:rFonts w:hint="eastAsia" w:ascii="仿宋_GB2312" w:eastAsia="仿宋_GB2312"/>
          <w:sz w:val="28"/>
          <w:szCs w:val="28"/>
        </w:rPr>
        <w:t>5.</w:t>
      </w:r>
      <w:r>
        <w:rPr>
          <w:rFonts w:hint="eastAsia" w:ascii="仿宋_GB2312" w:hAnsi="宋体" w:eastAsia="仿宋_GB2312"/>
          <w:sz w:val="28"/>
          <w:szCs w:val="28"/>
        </w:rPr>
        <w:t>负责宏观经济预测、预警和预期管理。研究分析全市国民经济运行、总量平衡、经济安全和产业安全等重要问题并提出相关建议。协调宏观经济运行重大问题。承担国防动员委员会的有关工作、国民经济动员办公室的日常工作、国防科技工业综合协调与管理相关职责。推动实施军民融合发展战略。</w:t>
      </w:r>
    </w:p>
    <w:p>
      <w:pPr>
        <w:ind w:firstLine="560" w:firstLineChars="200"/>
        <w:rPr>
          <w:rFonts w:hint="eastAsia" w:ascii="仿宋_GB2312" w:eastAsia="仿宋_GB2312"/>
          <w:sz w:val="28"/>
          <w:szCs w:val="28"/>
        </w:rPr>
      </w:pPr>
      <w:r>
        <w:rPr>
          <w:rFonts w:hint="eastAsia" w:ascii="仿宋_GB2312" w:eastAsia="仿宋_GB2312"/>
          <w:sz w:val="28"/>
          <w:szCs w:val="28"/>
        </w:rPr>
        <w:t>6.</w:t>
      </w:r>
      <w:r>
        <w:rPr>
          <w:rFonts w:hint="eastAsia" w:ascii="仿宋_GB2312" w:hAnsi="宋体" w:eastAsia="仿宋_GB2312"/>
          <w:sz w:val="28"/>
          <w:szCs w:val="28"/>
        </w:rPr>
        <w:t>负责全市社会发展与国民经济发展的政策衔接，协调有关重大问题。组织拟订全市社会发展战略、总体规划。统筹推进基本公共服务体系建设和收入分配制度改革。提出促进就业、增加城乡居民收入、完善社会保障等与经济协调发展的政策建议。</w:t>
      </w:r>
    </w:p>
    <w:p>
      <w:pPr>
        <w:ind w:firstLine="560" w:firstLineChars="200"/>
        <w:rPr>
          <w:rFonts w:hint="eastAsia" w:ascii="仿宋_GB2312" w:eastAsia="仿宋_GB2312"/>
          <w:sz w:val="28"/>
          <w:szCs w:val="28"/>
        </w:rPr>
      </w:pPr>
      <w:r>
        <w:rPr>
          <w:rFonts w:hint="eastAsia" w:ascii="仿宋_GB2312" w:eastAsia="仿宋_GB2312"/>
          <w:sz w:val="28"/>
          <w:szCs w:val="28"/>
        </w:rPr>
        <w:t>7.</w:t>
      </w:r>
      <w:r>
        <w:rPr>
          <w:rFonts w:hint="eastAsia" w:ascii="仿宋_GB2312" w:hAnsi="宋体" w:eastAsia="仿宋_GB2312"/>
          <w:sz w:val="28"/>
          <w:szCs w:val="28"/>
        </w:rPr>
        <w:t>拟订并组织实施有关价格政策。贯彻落实国家、省政府、金华市政府定价目录，组织制定少数由政府管理的重要商品、服务价格和重要收费标准，负责全市重大价格改革与政策协调。制定重要领域的市场价格行为规则，发布相关指引。</w:t>
      </w:r>
    </w:p>
    <w:p>
      <w:pPr>
        <w:ind w:firstLine="560" w:firstLineChars="200"/>
        <w:rPr>
          <w:rFonts w:hint="eastAsia" w:ascii="仿宋_GB2312" w:eastAsia="仿宋_GB2312"/>
          <w:sz w:val="28"/>
          <w:szCs w:val="28"/>
        </w:rPr>
      </w:pPr>
      <w:r>
        <w:rPr>
          <w:rFonts w:hint="eastAsia" w:ascii="仿宋_GB2312" w:eastAsia="仿宋_GB2312"/>
          <w:sz w:val="28"/>
          <w:szCs w:val="28"/>
        </w:rPr>
        <w:t>8.</w:t>
      </w:r>
      <w:r>
        <w:rPr>
          <w:rFonts w:hint="eastAsia" w:ascii="仿宋_GB2312" w:hAnsi="宋体" w:eastAsia="仿宋_GB2312"/>
          <w:sz w:val="28"/>
          <w:szCs w:val="28"/>
        </w:rPr>
        <w:t>负责全市投资综合管理。拟订全社会固定资产投资总规模、结构调控目标和政策，规划重大建设项目和生产力布局。提出市财政性建设资金的规模、投向建议。推进投融资体制改革，拟订并推动落实鼓励民间投资政策措施。指导全市企业投资登记备案和核准。按权限审批政府投资项目和核准、备案企业投资项目。负责政府投资建设项目和法律法规规定的其他建设项目的初步设计和项目概算审查审批工作。牵头推进企业投资项目“最多跑一次”改革。</w:t>
      </w:r>
    </w:p>
    <w:p>
      <w:pPr>
        <w:ind w:firstLine="560" w:firstLineChars="200"/>
        <w:rPr>
          <w:rFonts w:hint="eastAsia" w:ascii="仿宋_GB2312" w:eastAsia="仿宋_GB2312"/>
          <w:sz w:val="28"/>
          <w:szCs w:val="28"/>
        </w:rPr>
      </w:pPr>
      <w:r>
        <w:rPr>
          <w:rFonts w:hint="eastAsia" w:ascii="仿宋_GB2312" w:eastAsia="仿宋_GB2312"/>
          <w:sz w:val="28"/>
          <w:szCs w:val="28"/>
        </w:rPr>
        <w:t>9.</w:t>
      </w:r>
      <w:r>
        <w:rPr>
          <w:rFonts w:hint="eastAsia" w:ascii="仿宋_GB2312" w:hAnsi="宋体" w:eastAsia="仿宋_GB2312"/>
          <w:sz w:val="28"/>
          <w:szCs w:val="28"/>
        </w:rPr>
        <w:t>负责全市基本建设、省重点建设项目的综合管理。负责组织申报省、金华市重点建设项目，编制市重点建设项目计划并组织实施，负责区域范围内省、金华市以及我市重点建设项目的评估督导工作。按分工做好区域范围内的省、金华市以及我市重点建设工程的安全生产监督管理有关工作，指导督促各级重点工程建设临时性机构落实安全生产职责。</w:t>
      </w:r>
    </w:p>
    <w:p>
      <w:pPr>
        <w:ind w:firstLine="560" w:firstLineChars="200"/>
        <w:rPr>
          <w:rFonts w:hint="eastAsia" w:ascii="仿宋_GB2312" w:eastAsia="仿宋_GB2312"/>
          <w:sz w:val="28"/>
          <w:szCs w:val="28"/>
        </w:rPr>
      </w:pPr>
      <w:r>
        <w:rPr>
          <w:rFonts w:hint="eastAsia" w:ascii="仿宋_GB2312" w:eastAsia="仿宋_GB2312"/>
          <w:sz w:val="28"/>
          <w:szCs w:val="28"/>
        </w:rPr>
        <w:t>10.</w:t>
      </w:r>
      <w:r>
        <w:rPr>
          <w:rFonts w:hint="eastAsia" w:ascii="仿宋_GB2312" w:hAnsi="宋体" w:eastAsia="仿宋_GB2312"/>
          <w:sz w:val="28"/>
          <w:szCs w:val="28"/>
        </w:rPr>
        <w:t>研究分析全社会资金平衡和财政、金融运行情况，提出协调解决财政金融运行重大问题和建议。参与制定财政和金融政策，推动构建规划、财政、金融等政策协调和工作协同机制。提出全市直接融资的发展目标和政策，引导社会资金投向。负责全市企业债券发行的综合管理。负责创业投资的管理和政策制定。</w:t>
      </w:r>
    </w:p>
    <w:p>
      <w:pPr>
        <w:ind w:firstLine="560" w:firstLineChars="200"/>
        <w:rPr>
          <w:rFonts w:hint="eastAsia" w:ascii="仿宋_GB2312" w:eastAsia="仿宋_GB2312"/>
          <w:sz w:val="28"/>
          <w:szCs w:val="28"/>
        </w:rPr>
      </w:pPr>
      <w:r>
        <w:rPr>
          <w:rFonts w:hint="eastAsia" w:ascii="仿宋_GB2312" w:eastAsia="仿宋_GB2312"/>
          <w:sz w:val="28"/>
          <w:szCs w:val="28"/>
        </w:rPr>
        <w:t>11.</w:t>
      </w:r>
      <w:r>
        <w:rPr>
          <w:rFonts w:hint="eastAsia" w:ascii="仿宋_GB2312" w:hAnsi="宋体" w:eastAsia="仿宋_GB2312"/>
          <w:sz w:val="28"/>
          <w:szCs w:val="28"/>
        </w:rPr>
        <w:t>指导推进和综合协调经济体制改革，提出相关改革建议。牵头推进全市供给侧结构性改革。协调推进产权制度和要素市场化配置改革。推动完善市场经济制度和现代化经济体系建设，会同相关部门组织实施市场准入负面清单制度。牵头推进全市优化营商环境工作。</w:t>
      </w:r>
    </w:p>
    <w:p>
      <w:pPr>
        <w:ind w:firstLine="560" w:firstLineChars="200"/>
        <w:rPr>
          <w:rFonts w:hint="eastAsia" w:ascii="仿宋_GB2312" w:eastAsia="仿宋_GB2312"/>
          <w:sz w:val="28"/>
          <w:szCs w:val="28"/>
        </w:rPr>
      </w:pPr>
      <w:r>
        <w:rPr>
          <w:rFonts w:hint="eastAsia" w:ascii="仿宋_GB2312" w:eastAsia="仿宋_GB2312"/>
          <w:sz w:val="28"/>
          <w:szCs w:val="28"/>
        </w:rPr>
        <w:t>12.</w:t>
      </w:r>
      <w:r>
        <w:rPr>
          <w:rFonts w:hint="eastAsia" w:ascii="仿宋_GB2312" w:hAnsi="宋体" w:eastAsia="仿宋_GB2312"/>
          <w:sz w:val="28"/>
          <w:szCs w:val="28"/>
        </w:rPr>
        <w:t>统筹全市对外开放工作。拟订对外开放战略、规划和相关政策，牵头推进全市“一带一路”建设。承担统筹协调全市“走出去”有关工作，负责全市利用外资和境外投资的平衡发展、布局优化。参与各类开发区（园区）的统筹规划。指导全市重大对外开放平台建设。</w:t>
      </w:r>
    </w:p>
    <w:p>
      <w:pPr>
        <w:ind w:firstLine="560" w:firstLineChars="200"/>
        <w:rPr>
          <w:rFonts w:hint="eastAsia" w:ascii="仿宋_GB2312" w:eastAsia="仿宋_GB2312"/>
          <w:sz w:val="28"/>
          <w:szCs w:val="28"/>
        </w:rPr>
      </w:pPr>
      <w:r>
        <w:rPr>
          <w:rFonts w:hint="eastAsia" w:ascii="仿宋_GB2312" w:eastAsia="仿宋_GB2312"/>
          <w:sz w:val="28"/>
          <w:szCs w:val="28"/>
        </w:rPr>
        <w:t>13.</w:t>
      </w:r>
      <w:r>
        <w:rPr>
          <w:rFonts w:hint="eastAsia" w:ascii="仿宋_GB2312" w:hAnsi="宋体" w:eastAsia="仿宋_GB2312"/>
          <w:sz w:val="28"/>
          <w:szCs w:val="28"/>
        </w:rPr>
        <w:t>负责指导和协调推进全市社会信用体系建设，综合协调全市公共信用信息管理。</w:t>
      </w:r>
    </w:p>
    <w:p>
      <w:pPr>
        <w:ind w:firstLine="560" w:firstLineChars="200"/>
        <w:rPr>
          <w:rFonts w:hint="eastAsia" w:ascii="仿宋_GB2312" w:eastAsia="仿宋_GB2312"/>
          <w:sz w:val="28"/>
          <w:szCs w:val="28"/>
        </w:rPr>
      </w:pPr>
      <w:r>
        <w:rPr>
          <w:rFonts w:hint="eastAsia" w:ascii="仿宋_GB2312" w:eastAsia="仿宋_GB2312"/>
          <w:sz w:val="28"/>
          <w:szCs w:val="28"/>
        </w:rPr>
        <w:t>14.</w:t>
      </w:r>
      <w:r>
        <w:rPr>
          <w:rFonts w:hint="eastAsia" w:ascii="仿宋_GB2312" w:hAnsi="宋体" w:eastAsia="仿宋_GB2312"/>
          <w:sz w:val="28"/>
          <w:szCs w:val="28"/>
        </w:rPr>
        <w:t>组织拟订综合性产业政策。负责协调一、二、三产业发展重大问题并统筹衔接相关发展规划和重大政策。协调实施重大产业工程。协调产业升级、重大技术装备推广应用等方面的重大问题。组织拟订并推动实施全市服务业、现代物流业的战略规划和重大政策，负责推进服务业与其它产业融合发展，培育服务业新业态、新模式。跟踪研判分析消费变动趋势，拟订实施促进消费的综合性政策措施。</w:t>
      </w:r>
    </w:p>
    <w:p>
      <w:pPr>
        <w:ind w:firstLine="560" w:firstLineChars="200"/>
        <w:rPr>
          <w:rFonts w:hint="eastAsia" w:ascii="仿宋_GB2312" w:eastAsia="仿宋_GB2312"/>
          <w:sz w:val="28"/>
          <w:szCs w:val="28"/>
        </w:rPr>
      </w:pPr>
      <w:r>
        <w:rPr>
          <w:rFonts w:hint="eastAsia" w:ascii="仿宋_GB2312" w:eastAsia="仿宋_GB2312"/>
          <w:sz w:val="28"/>
          <w:szCs w:val="28"/>
        </w:rPr>
        <w:t>15.</w:t>
      </w:r>
      <w:r>
        <w:rPr>
          <w:rFonts w:hint="eastAsia" w:ascii="仿宋_GB2312" w:hAnsi="宋体" w:eastAsia="仿宋_GB2312"/>
          <w:sz w:val="28"/>
          <w:szCs w:val="28"/>
        </w:rPr>
        <w:t>推动实施创新驱动发展战略，会同相关部门拟订推进创业创新的规划和政策，提出创新发展和培育经济发展新动能的政策措施。会同相关部门规划布局全市重大科技基础设施。组织拟订并推动实施高新技术产业、战略性新兴产业发展规划和政策。参与数字兰溪建设。</w:t>
      </w:r>
    </w:p>
    <w:p>
      <w:pPr>
        <w:ind w:firstLine="560" w:firstLineChars="200"/>
        <w:rPr>
          <w:rFonts w:hint="eastAsia" w:ascii="仿宋_GB2312" w:eastAsia="仿宋_GB2312"/>
          <w:sz w:val="28"/>
          <w:szCs w:val="28"/>
        </w:rPr>
      </w:pPr>
      <w:r>
        <w:rPr>
          <w:rFonts w:hint="eastAsia" w:ascii="仿宋_GB2312" w:eastAsia="仿宋_GB2312"/>
          <w:sz w:val="28"/>
          <w:szCs w:val="28"/>
        </w:rPr>
        <w:t>16.</w:t>
      </w:r>
      <w:r>
        <w:rPr>
          <w:rFonts w:hint="eastAsia" w:ascii="仿宋_GB2312" w:hAnsi="宋体" w:eastAsia="仿宋_GB2312"/>
          <w:sz w:val="28"/>
          <w:szCs w:val="28"/>
        </w:rPr>
        <w:t>提出农业农村经济发展战略、体制改革级有关政策建议。协调农业农村经济社会发展的重大问题，会同有关部门提出农业农村经济社会发展速度、总量平衡、结构调整的目标及政策建议。组织编制全市乡村振兴战略规划，规划农业农村重大建设项目布局并协调实施。</w:t>
      </w:r>
    </w:p>
    <w:p>
      <w:pPr>
        <w:ind w:firstLine="560" w:firstLineChars="200"/>
        <w:rPr>
          <w:rFonts w:hint="eastAsia" w:ascii="仿宋_GB2312" w:eastAsia="仿宋_GB2312"/>
          <w:sz w:val="28"/>
          <w:szCs w:val="28"/>
        </w:rPr>
      </w:pPr>
      <w:r>
        <w:rPr>
          <w:rFonts w:hint="eastAsia" w:ascii="仿宋_GB2312" w:eastAsia="仿宋_GB2312"/>
          <w:sz w:val="28"/>
          <w:szCs w:val="28"/>
        </w:rPr>
        <w:t>17.</w:t>
      </w:r>
      <w:r>
        <w:rPr>
          <w:rFonts w:hint="eastAsia" w:ascii="仿宋_GB2312" w:hAnsi="宋体" w:eastAsia="仿宋_GB2312"/>
          <w:sz w:val="28"/>
          <w:szCs w:val="28"/>
        </w:rPr>
        <w:t>负责指导、协调和监督全市对口工作。牵头编制对口工作总体规划和年度计划，指导编制有关专项规划。综合协调前方指挥机构、市直单位的对口工作。分类指导对口支援、对口帮扶（东西部扶贫协作）和对口合作。牵头落实与对口县区之间的合作协议。研究制定全市国内合作交流发展规划、政策措施并组织实施。牵头实施山海协作工程。</w:t>
      </w:r>
    </w:p>
    <w:p>
      <w:pPr>
        <w:ind w:firstLine="560" w:firstLineChars="200"/>
        <w:rPr>
          <w:rFonts w:hint="eastAsia" w:ascii="仿宋_GB2312" w:eastAsia="仿宋_GB2312"/>
          <w:sz w:val="28"/>
          <w:szCs w:val="28"/>
        </w:rPr>
      </w:pPr>
      <w:r>
        <w:rPr>
          <w:rFonts w:hint="eastAsia" w:ascii="仿宋_GB2312" w:eastAsia="仿宋_GB2312"/>
          <w:sz w:val="28"/>
          <w:szCs w:val="28"/>
        </w:rPr>
        <w:t>18.</w:t>
      </w:r>
      <w:r>
        <w:rPr>
          <w:rFonts w:hint="eastAsia" w:ascii="仿宋_GB2312" w:hAnsi="宋体" w:eastAsia="仿宋_GB2312"/>
          <w:sz w:val="28"/>
          <w:szCs w:val="28"/>
        </w:rPr>
        <w:t>贯彻落实国家有关能源工作的法律、法规和政策。研究提出全市能源发展战略和重大政策建议。拟订能源发展规划和年度计划并组织实施。组织制定能源体制改革、结构调整方案，推进能源体制改革和结构调整。研究、协调能源发展和改革中的重大问题。负责能源预测预警，承担电力运行管理、电力电量综合平衡，监督指导电力调度。建立煤电油气运等能源要素保障机制，拟订并组织实施有关应急预案、保障政策和措施。承担全市节能降耗工作，组织协调推进新能源的推广应用和项目示范建设。指导能源利用监察（监测）和执法工作。承担市节能降耗办公室的日常工作。</w:t>
      </w:r>
    </w:p>
    <w:p>
      <w:pPr>
        <w:ind w:firstLine="560" w:firstLineChars="200"/>
        <w:rPr>
          <w:rFonts w:hint="eastAsia" w:ascii="仿宋_GB2312" w:eastAsia="仿宋_GB2312"/>
          <w:sz w:val="28"/>
          <w:szCs w:val="28"/>
        </w:rPr>
      </w:pPr>
      <w:r>
        <w:rPr>
          <w:rFonts w:hint="eastAsia" w:ascii="仿宋_GB2312" w:eastAsia="仿宋_GB2312"/>
          <w:sz w:val="28"/>
          <w:szCs w:val="28"/>
        </w:rPr>
        <w:t>19.</w:t>
      </w:r>
      <w:r>
        <w:rPr>
          <w:rFonts w:hint="eastAsia" w:ascii="仿宋_GB2312" w:hAnsi="宋体" w:eastAsia="仿宋_GB2312"/>
          <w:sz w:val="28"/>
          <w:szCs w:val="28"/>
        </w:rPr>
        <w:t>完成市委、市政府交办的其他任务。</w:t>
      </w:r>
    </w:p>
    <w:p>
      <w:pPr>
        <w:spacing w:line="324" w:lineRule="auto"/>
        <w:ind w:firstLine="562" w:firstLineChars="200"/>
        <w:rPr>
          <w:b/>
          <w:color w:val="000000"/>
          <w:sz w:val="28"/>
          <w:szCs w:val="28"/>
          <w:highlight w:val="white"/>
        </w:rPr>
      </w:pPr>
      <w:r>
        <w:rPr>
          <w:rFonts w:hint="eastAsia" w:ascii="楷体" w:hAnsi="楷体" w:eastAsia="楷体"/>
          <w:b/>
          <w:color w:val="000000"/>
          <w:sz w:val="28"/>
          <w:szCs w:val="28"/>
          <w:highlight w:val="white"/>
        </w:rPr>
        <w:t>（二）机构设置</w:t>
      </w:r>
    </w:p>
    <w:p>
      <w:pPr>
        <w:ind w:firstLine="560" w:firstLineChars="200"/>
      </w:pPr>
      <w:r>
        <w:rPr>
          <w:rFonts w:hint="eastAsia" w:ascii="仿宋" w:hAnsi="仿宋" w:eastAsia="仿宋"/>
          <w:sz w:val="28"/>
          <w:szCs w:val="28"/>
          <w:highlight w:val="white"/>
        </w:rPr>
        <w:t>从预算单位构成看，发改局部门决算包括：局本级决算、兰溪市价格认证中心决算</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rPr>
        <w:t>从预算单位构成看，本单位内设：办公室、能源科、服务业科、体改科、投管科、价管科、综合科、项目办、行政审批科、社会建设科。</w:t>
      </w:r>
    </w:p>
    <w:p>
      <w:pPr>
        <w:spacing w:line="324" w:lineRule="auto"/>
        <w:ind w:firstLine="562" w:firstLineChars="200"/>
        <w:rPr>
          <w:rFonts w:ascii="黑体" w:hAnsi="黑体" w:eastAsia="黑体"/>
          <w:b/>
          <w:color w:val="000000"/>
          <w:sz w:val="28"/>
          <w:szCs w:val="28"/>
          <w:highlight w:val="white"/>
        </w:rPr>
      </w:pPr>
      <w:r>
        <w:rPr>
          <w:rFonts w:hint="eastAsia" w:ascii="黑体" w:hAnsi="黑体" w:eastAsia="黑体"/>
          <w:b/>
          <w:color w:val="000000"/>
          <w:sz w:val="28"/>
          <w:szCs w:val="28"/>
          <w:highlight w:val="white"/>
        </w:rPr>
        <w:t>二、2021年度部门（单位）决算公开表</w:t>
      </w:r>
    </w:p>
    <w:p>
      <w:pPr>
        <w:ind w:firstLine="560" w:firstLineChars="200"/>
        <w:rPr>
          <w:rFonts w:hint="eastAsia" w:ascii="仿宋" w:hAnsi="仿宋" w:eastAsia="仿宋"/>
          <w:sz w:val="28"/>
          <w:szCs w:val="28"/>
        </w:rPr>
      </w:pPr>
      <w:r>
        <w:rPr>
          <w:rFonts w:hint="eastAsia" w:ascii="仿宋" w:hAnsi="仿宋" w:eastAsia="仿宋"/>
          <w:sz w:val="28"/>
          <w:szCs w:val="28"/>
        </w:rPr>
        <w:t>详见附表。</w:t>
      </w:r>
    </w:p>
    <w:p>
      <w:pPr>
        <w:spacing w:line="324" w:lineRule="auto"/>
        <w:ind w:firstLine="562" w:firstLineChars="200"/>
        <w:rPr>
          <w:b/>
          <w:color w:val="000000"/>
          <w:sz w:val="28"/>
          <w:szCs w:val="28"/>
          <w:highlight w:val="white"/>
        </w:rPr>
      </w:pPr>
      <w:r>
        <w:rPr>
          <w:rFonts w:hint="eastAsia" w:ascii="黑体" w:hAnsi="黑体" w:eastAsia="黑体"/>
          <w:b/>
          <w:sz w:val="28"/>
          <w:szCs w:val="28"/>
          <w:highlight w:val="white"/>
        </w:rPr>
        <w:t>三、</w:t>
      </w:r>
      <w:r>
        <w:rPr>
          <w:rFonts w:hint="eastAsia" w:ascii="黑体" w:hAnsi="黑体" w:eastAsia="黑体"/>
          <w:b/>
          <w:color w:val="000000"/>
          <w:sz w:val="28"/>
          <w:szCs w:val="28"/>
          <w:highlight w:val="white"/>
        </w:rPr>
        <w:t>2021年度部门（单位）决算情况说明</w:t>
      </w:r>
    </w:p>
    <w:p>
      <w:pPr>
        <w:spacing w:line="324" w:lineRule="auto"/>
        <w:ind w:firstLine="562" w:firstLineChars="200"/>
        <w:rPr>
          <w:b/>
          <w:color w:val="000000"/>
          <w:sz w:val="28"/>
          <w:szCs w:val="28"/>
          <w:highlight w:val="white"/>
        </w:rPr>
      </w:pPr>
      <w:r>
        <w:rPr>
          <w:rFonts w:hint="eastAsia" w:ascii="楷体" w:hAnsi="楷体" w:eastAsia="楷体"/>
          <w:b/>
          <w:color w:val="000000"/>
          <w:sz w:val="28"/>
          <w:szCs w:val="28"/>
          <w:highlight w:val="white"/>
        </w:rPr>
        <w:t>（一）收入支出决算总体情况说明</w:t>
      </w:r>
    </w:p>
    <w:p>
      <w:pPr>
        <w:ind w:firstLine="560" w:firstLineChars="200"/>
        <w:rPr>
          <w:rFonts w:ascii="仿宋" w:hAnsi="仿宋" w:eastAsia="仿宋"/>
          <w:color w:val="FF0000"/>
          <w:sz w:val="28"/>
          <w:szCs w:val="28"/>
        </w:rPr>
      </w:pPr>
      <w:r>
        <w:rPr>
          <w:rFonts w:hint="eastAsia" w:ascii="仿宋" w:hAnsi="仿宋" w:eastAsia="仿宋"/>
          <w:color w:val="000000"/>
          <w:sz w:val="28"/>
          <w:szCs w:val="28"/>
        </w:rPr>
        <w:t>2021年度收入总计</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rPr>
        <w:t>万元，支出总计</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rPr>
        <w:t>万元。与2020年度相比，各减少61648.23万元，下降488.11%。主要原因是：今年没有政府性基金预算。</w:t>
      </w:r>
    </w:p>
    <w:p>
      <w:pPr>
        <w:spacing w:line="324" w:lineRule="auto"/>
        <w:ind w:firstLine="594"/>
        <w:rPr>
          <w:b/>
          <w:color w:val="000000"/>
          <w:sz w:val="28"/>
          <w:szCs w:val="28"/>
          <w:highlight w:val="white"/>
        </w:rPr>
      </w:pPr>
      <w:r>
        <w:rPr>
          <w:rFonts w:hint="eastAsia" w:ascii="楷体" w:hAnsi="楷体" w:eastAsia="楷体"/>
          <w:b/>
          <w:color w:val="000000"/>
          <w:sz w:val="28"/>
          <w:szCs w:val="28"/>
          <w:highlight w:val="white"/>
        </w:rPr>
        <w:t>（二）收入决算情况说明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本年收入合计</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highlight w:val="white"/>
        </w:rPr>
        <w:t>万元；包括财政拨款收入</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highlight w:val="white"/>
        </w:rPr>
        <w:t>万元（其中，一般公共预算</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highlight w:val="white"/>
        </w:rPr>
        <w:t>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line="324" w:lineRule="auto"/>
        <w:ind w:firstLine="594"/>
        <w:rPr>
          <w:rFonts w:hint="eastAsia" w:ascii="Times New Roman" w:hAnsi="Times New Roman"/>
          <w:b/>
          <w:color w:val="000000"/>
          <w:sz w:val="28"/>
          <w:szCs w:val="28"/>
          <w:highlight w:val="white"/>
        </w:rPr>
      </w:pPr>
      <w:r>
        <w:rPr>
          <w:rFonts w:hint="eastAsia" w:ascii="楷体" w:hAnsi="楷体" w:eastAsia="楷体"/>
          <w:b/>
          <w:color w:val="000000"/>
          <w:sz w:val="28"/>
          <w:szCs w:val="28"/>
          <w:highlight w:val="white"/>
        </w:rPr>
        <w:t>（三）支出决算情况说明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本年支出合计</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highlight w:val="white"/>
        </w:rPr>
        <w:t>万元，其中基本支出</w:t>
      </w:r>
      <w:r>
        <w:rPr>
          <w:rFonts w:ascii="仿宋" w:hAnsi="仿宋" w:eastAsia="仿宋"/>
          <w:color w:val="000000"/>
          <w:sz w:val="28"/>
          <w:szCs w:val="28"/>
        </w:rPr>
        <w:t>861</w:t>
      </w:r>
      <w:r>
        <w:rPr>
          <w:rFonts w:hint="eastAsia" w:ascii="仿宋" w:hAnsi="仿宋" w:eastAsia="仿宋"/>
          <w:color w:val="000000"/>
          <w:sz w:val="28"/>
          <w:szCs w:val="28"/>
        </w:rPr>
        <w:t>.</w:t>
      </w:r>
      <w:r>
        <w:rPr>
          <w:rFonts w:ascii="仿宋" w:hAnsi="仿宋" w:eastAsia="仿宋"/>
          <w:color w:val="000000"/>
          <w:sz w:val="28"/>
          <w:szCs w:val="28"/>
        </w:rPr>
        <w:t>9</w:t>
      </w:r>
      <w:r>
        <w:rPr>
          <w:rFonts w:hint="eastAsia" w:ascii="仿宋" w:hAnsi="仿宋" w:eastAsia="仿宋"/>
          <w:color w:val="000000"/>
          <w:sz w:val="28"/>
          <w:szCs w:val="28"/>
        </w:rPr>
        <w:t>8</w:t>
      </w:r>
      <w:r>
        <w:rPr>
          <w:rFonts w:hint="eastAsia" w:ascii="仿宋" w:hAnsi="仿宋" w:eastAsia="仿宋"/>
          <w:color w:val="000000"/>
          <w:sz w:val="28"/>
          <w:szCs w:val="28"/>
          <w:highlight w:val="white"/>
        </w:rPr>
        <w:t>万元，占6.82%；项目支出</w:t>
      </w:r>
      <w:r>
        <w:rPr>
          <w:rFonts w:ascii="仿宋" w:hAnsi="仿宋" w:eastAsia="仿宋"/>
          <w:color w:val="000000"/>
          <w:sz w:val="28"/>
          <w:szCs w:val="28"/>
        </w:rPr>
        <w:t>11767</w:t>
      </w:r>
      <w:r>
        <w:rPr>
          <w:rFonts w:hint="eastAsia" w:ascii="仿宋" w:hAnsi="仿宋" w:eastAsia="仿宋"/>
          <w:color w:val="000000"/>
          <w:sz w:val="28"/>
          <w:szCs w:val="28"/>
        </w:rPr>
        <w:t>.</w:t>
      </w:r>
      <w:r>
        <w:rPr>
          <w:rFonts w:ascii="仿宋" w:hAnsi="仿宋" w:eastAsia="仿宋"/>
          <w:color w:val="000000"/>
          <w:sz w:val="28"/>
          <w:szCs w:val="28"/>
        </w:rPr>
        <w:t>97</w:t>
      </w:r>
      <w:r>
        <w:rPr>
          <w:rFonts w:hint="eastAsia" w:ascii="仿宋" w:hAnsi="仿宋" w:eastAsia="仿宋"/>
          <w:color w:val="000000"/>
          <w:sz w:val="28"/>
          <w:szCs w:val="28"/>
          <w:highlight w:val="white"/>
        </w:rPr>
        <w:t>万元，占93.18%；上缴上级支出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万元，占0%；经营支出0万元，占0%；对附属单位补助支出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（四）财政拨款收入支出决算总体情况说明</w:t>
      </w:r>
    </w:p>
    <w:p>
      <w:pPr>
        <w:ind w:firstLine="560" w:firstLineChars="200"/>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2021年度财政拨款收入总计</w:t>
      </w:r>
      <w:r>
        <w:rPr>
          <w:rFonts w:ascii="仿宋" w:hAnsi="仿宋" w:eastAsia="仿宋"/>
          <w:color w:val="000000"/>
          <w:sz w:val="28"/>
          <w:szCs w:val="28"/>
          <w:highlight w:val="white"/>
        </w:rPr>
        <w:t>12629</w:t>
      </w:r>
      <w:r>
        <w:rPr>
          <w:rFonts w:hint="eastAsia" w:ascii="仿宋" w:hAnsi="仿宋" w:eastAsia="仿宋"/>
          <w:color w:val="000000"/>
          <w:sz w:val="28"/>
          <w:szCs w:val="28"/>
          <w:highlight w:val="white"/>
        </w:rPr>
        <w:t>.</w:t>
      </w:r>
      <w:r>
        <w:rPr>
          <w:rFonts w:ascii="仿宋" w:hAnsi="仿宋" w:eastAsia="仿宋"/>
          <w:color w:val="000000"/>
          <w:sz w:val="28"/>
          <w:szCs w:val="28"/>
          <w:highlight w:val="white"/>
        </w:rPr>
        <w:t>95</w:t>
      </w:r>
      <w:r>
        <w:rPr>
          <w:rFonts w:hint="eastAsia" w:ascii="仿宋" w:hAnsi="仿宋" w:eastAsia="仿宋"/>
          <w:color w:val="000000"/>
          <w:sz w:val="28"/>
          <w:szCs w:val="28"/>
          <w:highlight w:val="white"/>
        </w:rPr>
        <w:t>万元，支出总计</w:t>
      </w:r>
      <w:r>
        <w:rPr>
          <w:rFonts w:ascii="仿宋" w:hAnsi="仿宋" w:eastAsia="仿宋"/>
          <w:color w:val="000000"/>
          <w:sz w:val="28"/>
          <w:szCs w:val="28"/>
          <w:highlight w:val="white"/>
        </w:rPr>
        <w:t>12629</w:t>
      </w:r>
      <w:r>
        <w:rPr>
          <w:rFonts w:hint="eastAsia" w:ascii="仿宋" w:hAnsi="仿宋" w:eastAsia="仿宋"/>
          <w:color w:val="000000"/>
          <w:sz w:val="28"/>
          <w:szCs w:val="28"/>
          <w:highlight w:val="white"/>
        </w:rPr>
        <w:t>.</w:t>
      </w:r>
      <w:r>
        <w:rPr>
          <w:rFonts w:ascii="仿宋" w:hAnsi="仿宋" w:eastAsia="仿宋"/>
          <w:color w:val="000000"/>
          <w:sz w:val="28"/>
          <w:szCs w:val="28"/>
          <w:highlight w:val="white"/>
        </w:rPr>
        <w:t>95</w:t>
      </w:r>
      <w:r>
        <w:rPr>
          <w:rFonts w:hint="eastAsia" w:ascii="仿宋" w:hAnsi="仿宋" w:eastAsia="仿宋"/>
          <w:color w:val="000000"/>
          <w:sz w:val="28"/>
          <w:szCs w:val="28"/>
          <w:highlight w:val="white"/>
        </w:rPr>
        <w:t>万元，与2020年相比，各减少61648.23万元，下降488.11%。主要原因是：今年没有政府性基金预算；财政拨款支出年初预算数7793.04万元，完成年初预算的162.08%，主要原因是年中增加上级补助3525万元。</w:t>
      </w:r>
    </w:p>
    <w:p>
      <w:pPr>
        <w:spacing w:line="324" w:lineRule="auto"/>
        <w:ind w:firstLine="594"/>
        <w:rPr>
          <w:rFonts w:hint="eastAsia" w:ascii="Times New Roman" w:hAnsi="Times New Roman"/>
          <w:b/>
          <w:color w:val="000000"/>
          <w:sz w:val="28"/>
          <w:szCs w:val="28"/>
          <w:highlight w:val="white"/>
        </w:rPr>
      </w:pPr>
      <w:r>
        <w:rPr>
          <w:rFonts w:hint="eastAsia" w:ascii="楷体" w:hAnsi="楷体" w:eastAsia="楷体"/>
          <w:b/>
          <w:color w:val="000000"/>
          <w:sz w:val="28"/>
          <w:szCs w:val="28"/>
          <w:highlight w:val="white"/>
        </w:rPr>
        <w:t>（五）一般公共预算财政拨款支出决算情况说明</w:t>
      </w:r>
    </w:p>
    <w:p>
      <w:pPr>
        <w:spacing w:line="324" w:lineRule="auto"/>
        <w:ind w:firstLine="606"/>
        <w:rPr>
          <w:rFonts w:ascii="仿宋" w:hAnsi="仿宋" w:eastAsia="仿宋"/>
          <w:color w:val="000000"/>
          <w:sz w:val="28"/>
          <w:szCs w:val="28"/>
          <w:highlight w:val="white"/>
        </w:rPr>
      </w:pPr>
      <w:r>
        <w:rPr>
          <w:rFonts w:hint="eastAsia" w:ascii="仿宋" w:hAnsi="仿宋" w:eastAsia="仿宋"/>
          <w:b/>
          <w:color w:val="000000"/>
          <w:sz w:val="28"/>
          <w:szCs w:val="28"/>
          <w:highlight w:val="white"/>
        </w:rPr>
        <w:t>1.一般公共预算财政拨款支出决算总体情况。</w:t>
      </w:r>
    </w:p>
    <w:p>
      <w:pPr>
        <w:spacing w:line="324" w:lineRule="auto"/>
        <w:ind w:firstLine="606"/>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2021年度一般公共预算财政拨款支出</w:t>
      </w:r>
      <w:r>
        <w:rPr>
          <w:rFonts w:ascii="仿宋" w:hAnsi="仿宋" w:eastAsia="仿宋"/>
          <w:color w:val="000000"/>
          <w:sz w:val="28"/>
          <w:szCs w:val="28"/>
          <w:highlight w:val="white"/>
        </w:rPr>
        <w:t>12629</w:t>
      </w:r>
      <w:r>
        <w:rPr>
          <w:rFonts w:hint="eastAsia" w:ascii="仿宋" w:hAnsi="仿宋" w:eastAsia="仿宋"/>
          <w:color w:val="000000"/>
          <w:sz w:val="28"/>
          <w:szCs w:val="28"/>
          <w:highlight w:val="white"/>
        </w:rPr>
        <w:t>.</w:t>
      </w:r>
      <w:r>
        <w:rPr>
          <w:rFonts w:ascii="仿宋" w:hAnsi="仿宋" w:eastAsia="仿宋"/>
          <w:color w:val="000000"/>
          <w:sz w:val="28"/>
          <w:szCs w:val="28"/>
          <w:highlight w:val="white"/>
        </w:rPr>
        <w:t>95</w:t>
      </w:r>
      <w:r>
        <w:rPr>
          <w:rFonts w:hint="eastAsia" w:ascii="仿宋" w:hAnsi="仿宋" w:eastAsia="仿宋"/>
          <w:color w:val="000000"/>
          <w:sz w:val="28"/>
          <w:szCs w:val="28"/>
          <w:highlight w:val="white"/>
        </w:rPr>
        <w:t>万元，占本年支出合计的100%。与2020年相比，一般公共预算财政拨款支出减少2836.44万元，下降22.4%。主要原因是：减少多项大额资金项目。</w:t>
      </w:r>
    </w:p>
    <w:p>
      <w:pPr>
        <w:spacing w:line="324" w:lineRule="auto"/>
        <w:ind w:firstLine="606"/>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2.一般公共预算财政拨款支出决算结构情况。</w:t>
      </w:r>
    </w:p>
    <w:p>
      <w:pPr>
        <w:spacing w:line="324" w:lineRule="auto"/>
        <w:ind w:firstLine="606"/>
        <w:rPr>
          <w:rFonts w:hint="eastAsia" w:ascii="仿宋" w:hAnsi="仿宋" w:eastAsia="仿宋"/>
          <w:b/>
          <w:color w:val="000000"/>
          <w:sz w:val="28"/>
          <w:szCs w:val="28"/>
          <w:highlight w:val="white"/>
        </w:rPr>
      </w:pPr>
      <w:r>
        <w:rPr>
          <w:rFonts w:hint="eastAsia" w:ascii="仿宋" w:hAnsi="仿宋" w:eastAsia="仿宋"/>
          <w:color w:val="000000"/>
          <w:sz w:val="28"/>
          <w:szCs w:val="28"/>
          <w:highlight w:val="white"/>
        </w:rPr>
        <w:t>2021年度一般公共预算财政拨款支出</w:t>
      </w:r>
      <w:r>
        <w:rPr>
          <w:rFonts w:ascii="仿宋" w:hAnsi="仿宋" w:eastAsia="仿宋"/>
          <w:color w:val="000000"/>
          <w:sz w:val="28"/>
          <w:szCs w:val="28"/>
        </w:rPr>
        <w:t>12629</w:t>
      </w:r>
      <w:r>
        <w:rPr>
          <w:rFonts w:hint="eastAsia" w:ascii="仿宋" w:hAnsi="仿宋" w:eastAsia="仿宋"/>
          <w:color w:val="000000"/>
          <w:sz w:val="28"/>
          <w:szCs w:val="28"/>
        </w:rPr>
        <w:t>.</w:t>
      </w:r>
      <w:r>
        <w:rPr>
          <w:rFonts w:ascii="仿宋" w:hAnsi="仿宋" w:eastAsia="仿宋"/>
          <w:color w:val="000000"/>
          <w:sz w:val="28"/>
          <w:szCs w:val="28"/>
        </w:rPr>
        <w:t>95</w:t>
      </w:r>
      <w:r>
        <w:rPr>
          <w:rFonts w:hint="eastAsia" w:ascii="仿宋" w:hAnsi="仿宋" w:eastAsia="仿宋"/>
          <w:color w:val="000000"/>
          <w:sz w:val="28"/>
          <w:szCs w:val="28"/>
          <w:highlight w:val="white"/>
        </w:rPr>
        <w:t>万元，主要用于以下方面：一般公共服务（类）支出</w:t>
      </w:r>
      <w:r>
        <w:rPr>
          <w:rFonts w:hint="eastAsia" w:ascii="仿宋" w:hAnsi="仿宋" w:eastAsia="仿宋"/>
          <w:sz w:val="28"/>
          <w:szCs w:val="28"/>
          <w:highlight w:val="white"/>
        </w:rPr>
        <w:t>2912.25万元</w:t>
      </w:r>
      <w:r>
        <w:rPr>
          <w:rFonts w:hint="eastAsia" w:ascii="仿宋" w:hAnsi="仿宋" w:eastAsia="仿宋"/>
          <w:color w:val="000000"/>
          <w:sz w:val="28"/>
          <w:szCs w:val="28"/>
          <w:highlight w:val="white"/>
        </w:rPr>
        <w:t>，占23.06%；国防（类）支出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,占0%；公共安全（类）支出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,占0%；教育（类）支出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,占0%；科学技术（类）支出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,占0%；文化旅游体育与传媒（类）支出</w:t>
      </w:r>
      <w:r>
        <w:rPr>
          <w:rFonts w:hint="eastAsia" w:ascii="仿宋" w:hAnsi="仿宋" w:eastAsia="仿宋"/>
          <w:sz w:val="28"/>
          <w:szCs w:val="28"/>
          <w:highlight w:val="white"/>
        </w:rPr>
        <w:t>1098.6万元</w:t>
      </w:r>
      <w:r>
        <w:rPr>
          <w:rFonts w:hint="eastAsia" w:ascii="仿宋" w:hAnsi="仿宋" w:eastAsia="仿宋"/>
          <w:color w:val="000000"/>
          <w:sz w:val="28"/>
          <w:szCs w:val="28"/>
          <w:highlight w:val="white"/>
        </w:rPr>
        <w:t>,占8.7%；社会保障和就业（类）支出30.67万元,占0.24%；卫生健康（类）支出</w:t>
      </w:r>
      <w:r>
        <w:rPr>
          <w:rFonts w:hint="eastAsia" w:ascii="仿宋" w:hAnsi="仿宋" w:eastAsia="仿宋"/>
          <w:sz w:val="28"/>
          <w:szCs w:val="28"/>
          <w:highlight w:val="white"/>
        </w:rPr>
        <w:t>116.83万元</w:t>
      </w:r>
      <w:r>
        <w:rPr>
          <w:rFonts w:hint="eastAsia" w:ascii="仿宋" w:hAnsi="仿宋" w:eastAsia="仿宋"/>
          <w:color w:val="000000"/>
          <w:sz w:val="28"/>
          <w:szCs w:val="28"/>
          <w:highlight w:val="white"/>
        </w:rPr>
        <w:t>,占0.93%；节能环保（类）支出</w:t>
      </w:r>
      <w:r>
        <w:rPr>
          <w:rFonts w:hint="eastAsia" w:ascii="仿宋" w:hAnsi="仿宋" w:eastAsia="仿宋"/>
          <w:sz w:val="28"/>
          <w:szCs w:val="28"/>
          <w:highlight w:val="white"/>
        </w:rPr>
        <w:t>160万元</w:t>
      </w:r>
      <w:r>
        <w:rPr>
          <w:rFonts w:hint="eastAsia" w:ascii="仿宋" w:hAnsi="仿宋" w:eastAsia="仿宋"/>
          <w:color w:val="000000"/>
          <w:sz w:val="28"/>
          <w:szCs w:val="28"/>
          <w:highlight w:val="white"/>
        </w:rPr>
        <w:t>,占1.26%；城乡社区（类）支出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,占0%；农林水（类）支出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,占0%；交通运输（类）支出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,占0%；资源勘探工业信息等（类）支出</w:t>
      </w:r>
      <w:r>
        <w:rPr>
          <w:rFonts w:hint="eastAsia" w:ascii="仿宋" w:hAnsi="仿宋" w:eastAsia="仿宋"/>
          <w:sz w:val="28"/>
          <w:szCs w:val="28"/>
          <w:highlight w:val="white"/>
        </w:rPr>
        <w:t>3525万元</w:t>
      </w:r>
      <w:r>
        <w:rPr>
          <w:rFonts w:hint="eastAsia" w:ascii="仿宋" w:hAnsi="仿宋" w:eastAsia="仿宋"/>
          <w:color w:val="000000"/>
          <w:sz w:val="28"/>
          <w:szCs w:val="28"/>
          <w:highlight w:val="white"/>
        </w:rPr>
        <w:t>,占27.9%；商业服务业等（类）支出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,占0%；金融（类）支出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,占0%；援助其他地区（类）支出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,占0%；自然资源海洋气象等（类）支出0万元,占0%；住房保障（类）支出</w:t>
      </w:r>
      <w:r>
        <w:rPr>
          <w:rFonts w:hint="eastAsia" w:ascii="仿宋" w:hAnsi="仿宋" w:eastAsia="仿宋"/>
          <w:sz w:val="28"/>
          <w:szCs w:val="28"/>
          <w:highlight w:val="white"/>
        </w:rPr>
        <w:t>4786.6万元</w:t>
      </w:r>
      <w:r>
        <w:rPr>
          <w:rFonts w:hint="eastAsia" w:ascii="仿宋" w:hAnsi="仿宋" w:eastAsia="仿宋"/>
          <w:color w:val="000000"/>
          <w:sz w:val="28"/>
          <w:szCs w:val="28"/>
          <w:highlight w:val="white"/>
        </w:rPr>
        <w:t>,占37.9%；粮油物资储备（类）支出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,占0%；灾害防治及应急管理（类）支出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,占0%；其他（类）支出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,占0%；债务还本（类）支出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,占0%；债务付息（类）支出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,占0%。</w:t>
      </w:r>
    </w:p>
    <w:p>
      <w:pPr>
        <w:spacing w:line="324" w:lineRule="auto"/>
        <w:ind w:firstLine="606"/>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3.一般公共预算财政拨款支出决算具体情况。</w:t>
      </w:r>
    </w:p>
    <w:p>
      <w:pPr>
        <w:spacing w:line="324" w:lineRule="auto"/>
        <w:ind w:firstLine="594"/>
        <w:rPr>
          <w:rFonts w:hint="eastAsia" w:ascii="仿宋" w:hAnsi="仿宋" w:eastAsia="仿宋"/>
          <w:sz w:val="28"/>
          <w:szCs w:val="28"/>
          <w:highlight w:val="white"/>
        </w:rPr>
      </w:pPr>
      <w:r>
        <w:rPr>
          <w:rFonts w:hint="eastAsia" w:ascii="仿宋" w:hAnsi="仿宋" w:eastAsia="仿宋"/>
          <w:sz w:val="28"/>
          <w:szCs w:val="28"/>
          <w:highlight w:val="white"/>
        </w:rPr>
        <w:t>2021年度一般公共预算财政拨款支出年初预算为7793.04万元，支出决算为</w:t>
      </w:r>
      <w:r>
        <w:rPr>
          <w:rFonts w:ascii="仿宋" w:hAnsi="仿宋" w:eastAsia="仿宋"/>
          <w:sz w:val="28"/>
          <w:szCs w:val="28"/>
          <w:highlight w:val="white"/>
        </w:rPr>
        <w:t>12629</w:t>
      </w:r>
      <w:r>
        <w:rPr>
          <w:rFonts w:hint="eastAsia" w:ascii="仿宋" w:hAnsi="仿宋" w:eastAsia="仿宋"/>
          <w:sz w:val="28"/>
          <w:szCs w:val="28"/>
          <w:highlight w:val="white"/>
        </w:rPr>
        <w:t>.</w:t>
      </w:r>
      <w:r>
        <w:rPr>
          <w:rFonts w:ascii="仿宋" w:hAnsi="仿宋" w:eastAsia="仿宋"/>
          <w:sz w:val="28"/>
          <w:szCs w:val="28"/>
          <w:highlight w:val="white"/>
        </w:rPr>
        <w:t>95</w:t>
      </w:r>
      <w:r>
        <w:rPr>
          <w:rFonts w:hint="eastAsia" w:ascii="仿宋" w:hAnsi="仿宋" w:eastAsia="仿宋"/>
          <w:sz w:val="28"/>
          <w:szCs w:val="28"/>
          <w:highlight w:val="white"/>
        </w:rPr>
        <w:t>万元,完成年初预算的162.08%，主要原因是年中增加上级补助3525万元。其中：</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2010401行政运行。年初预算为846.66万元，支出决算为826.48万元，完成年初预算的97.61%，决算数小于预算数的主要原因我局厉行节约，严格把控各项支出。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rPr>
        <w:t>2010402一般行政管理事务。年初预算为88.88万元，支出决算为91.87万元，完成年初预算的103.36%，决算数大于预算数的主要原因人员办公费用增加。</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2010408物价管理。年初预算为6.00万元，支出决算为6.00万元，完成年初预算的100%，决算数等于预算数。</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2010499其他发展与改革事务支出。年初预算为6833.25万元，支出决算为1982.45万元，完成年初预算的29%，决算数小于预算数的主要原因是该项目主要为上级补助资金项目，我局根据实际进度拨付补助金额。</w:t>
      </w:r>
    </w:p>
    <w:p>
      <w:pPr>
        <w:spacing w:line="324" w:lineRule="auto"/>
        <w:ind w:firstLine="594"/>
        <w:rPr>
          <w:rFonts w:hint="eastAsia" w:ascii="仿宋" w:hAnsi="仿宋" w:eastAsia="仿宋"/>
          <w:color w:val="000000"/>
          <w:sz w:val="28"/>
          <w:szCs w:val="28"/>
        </w:rPr>
      </w:pPr>
      <w:r>
        <w:rPr>
          <w:rFonts w:ascii="仿宋" w:hAnsi="仿宋" w:eastAsia="仿宋"/>
          <w:color w:val="000000"/>
          <w:sz w:val="28"/>
          <w:szCs w:val="28"/>
        </w:rPr>
        <w:t>2101101</w:t>
      </w:r>
      <w:r>
        <w:rPr>
          <w:rFonts w:hint="eastAsia" w:ascii="仿宋" w:hAnsi="仿宋" w:eastAsia="仿宋"/>
          <w:color w:val="000000"/>
          <w:sz w:val="28"/>
          <w:szCs w:val="28"/>
        </w:rPr>
        <w:t>行政单位医疗。年初预算为14.77万元，支出决算为14.3万元，完成年初预算的96.8%，决算数小于预算数的主要原因人员的调整。</w:t>
      </w:r>
    </w:p>
    <w:p>
      <w:pPr>
        <w:spacing w:line="324" w:lineRule="auto"/>
        <w:ind w:firstLine="594"/>
        <w:rPr>
          <w:rFonts w:hint="eastAsia" w:ascii="仿宋" w:hAnsi="仿宋" w:eastAsia="仿宋"/>
          <w:color w:val="000000"/>
          <w:sz w:val="28"/>
          <w:szCs w:val="28"/>
        </w:rPr>
      </w:pPr>
      <w:r>
        <w:rPr>
          <w:rFonts w:ascii="仿宋" w:hAnsi="仿宋" w:eastAsia="仿宋"/>
          <w:color w:val="000000"/>
          <w:sz w:val="28"/>
          <w:szCs w:val="28"/>
        </w:rPr>
        <w:t>2101102</w:t>
      </w:r>
      <w:r>
        <w:rPr>
          <w:rFonts w:hint="eastAsia" w:ascii="仿宋" w:hAnsi="仿宋" w:eastAsia="仿宋"/>
          <w:color w:val="000000"/>
          <w:sz w:val="28"/>
          <w:szCs w:val="28"/>
        </w:rPr>
        <w:t>事业单位医疗。年初预算为3.48万元，支出决算为2.53万元，完成年初预算的73.1%，决算数小于预算数的主要原因人员的调整。</w:t>
      </w:r>
    </w:p>
    <w:p>
      <w:pPr>
        <w:spacing w:line="324" w:lineRule="auto"/>
        <w:ind w:firstLine="594"/>
        <w:rPr>
          <w:rFonts w:hint="eastAsia" w:ascii="Times New Roman" w:hAnsi="Times New Roman"/>
          <w:color w:val="000000"/>
          <w:sz w:val="28"/>
          <w:szCs w:val="28"/>
          <w:highlight w:val="white"/>
        </w:rPr>
      </w:pPr>
      <w:r>
        <w:rPr>
          <w:rFonts w:hint="eastAsia" w:ascii="楷体" w:hAnsi="楷体" w:eastAsia="楷体"/>
          <w:b/>
          <w:color w:val="000000"/>
          <w:sz w:val="28"/>
          <w:szCs w:val="28"/>
          <w:highlight w:val="white"/>
        </w:rPr>
        <w:t>（六）一般公共预算财政拨款基本支出决算情况说明</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2021年度一般公共预算财政拨款基本支出861.98万元，其中：</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highlight w:val="white"/>
        </w:rPr>
        <w:t>人员经费795.41万元，主要包括：</w:t>
      </w:r>
      <w:r>
        <w:rPr>
          <w:rFonts w:hint="eastAsia" w:ascii="仿宋" w:hAnsi="仿宋" w:eastAsia="仿宋"/>
          <w:color w:val="000000"/>
          <w:sz w:val="28"/>
          <w:szCs w:val="28"/>
        </w:rPr>
        <w:t>基本工资、津贴补贴、奖金、奖金、住房公积金、退休费等。</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公用经费66.57万元，主要包括：</w:t>
      </w:r>
      <w:r>
        <w:rPr>
          <w:rFonts w:hint="eastAsia" w:ascii="仿宋" w:hAnsi="仿宋" w:eastAsia="仿宋"/>
          <w:color w:val="000000"/>
          <w:sz w:val="28"/>
          <w:szCs w:val="28"/>
        </w:rPr>
        <w:t>办公费、印刷费、差旅费、培训费、接待费、交通费等。</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（七）政府性基金预算财政拨款支出决算总体情况说明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本部门2021年度无政府性基金预算财政拨款收支安排，故无相关数据。</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（八）国有资本经营预算财政拨款支出决算总体情况说明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本部门2021年度无国有指标经营预算财政拨款收支安排，故无相关数据。</w:t>
      </w:r>
    </w:p>
    <w:p>
      <w:pPr>
        <w:spacing w:line="324" w:lineRule="auto"/>
        <w:ind w:firstLine="594"/>
        <w:rPr>
          <w:rFonts w:hint="eastAsia" w:ascii="仿宋" w:hAnsi="仿宋" w:eastAsia="仿宋"/>
          <w:b/>
          <w:sz w:val="28"/>
          <w:szCs w:val="28"/>
          <w:highlight w:val="white"/>
          <w:u w:val="single"/>
        </w:rPr>
      </w:pPr>
      <w:r>
        <w:rPr>
          <w:rFonts w:hint="eastAsia" w:ascii="楷体" w:hAnsi="楷体" w:eastAsia="楷体"/>
          <w:b/>
          <w:color w:val="000000"/>
          <w:sz w:val="28"/>
          <w:szCs w:val="28"/>
          <w:highlight w:val="white"/>
        </w:rPr>
        <w:t>（九）一般公共预算财政拨款“三公”经费支出决算情况说明</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 xml:space="preserve">1.“三公”经费一般公共预算财政拨款支出决算总体情况说明。 </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2021年度“三公”经费一般公共预算财政拨款支出预算为7.71万元，支出决算为7.7万元，完成预算的99.87%,2021年度“三公”经费支出决算数小于预算数的主要原因是</w:t>
      </w:r>
      <w:r>
        <w:rPr>
          <w:rFonts w:hint="eastAsia" w:ascii="仿宋" w:hAnsi="仿宋" w:eastAsia="仿宋"/>
          <w:color w:val="000000"/>
          <w:sz w:val="28"/>
          <w:szCs w:val="28"/>
        </w:rPr>
        <w:t>我局厉行节约，严格把控“三公”经费支出。</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2.“三公”经费一般公共预算财政拨款支出决算具体情况说明。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决算中，因公出国（境）费用支出决算为0万元，占0%，与2020年度相比无变化；公务用车购置及运行维护费支出决算为4.21万元，占54.67%，与2020年度相比，增加0.05万元，增长1.18%，主要原因是</w:t>
      </w:r>
      <w:r>
        <w:rPr>
          <w:rFonts w:hint="eastAsia" w:ascii="仿宋" w:hAnsi="仿宋" w:eastAsia="仿宋"/>
          <w:color w:val="000000"/>
          <w:sz w:val="28"/>
          <w:szCs w:val="28"/>
        </w:rPr>
        <w:t>车辆使用频繁</w:t>
      </w:r>
      <w:r>
        <w:rPr>
          <w:rFonts w:hint="eastAsia" w:ascii="仿宋" w:hAnsi="仿宋" w:eastAsia="仿宋"/>
          <w:color w:val="000000"/>
          <w:sz w:val="28"/>
          <w:szCs w:val="28"/>
          <w:highlight w:val="white"/>
        </w:rPr>
        <w:t>；公务接待费支出决算为3.49万元，占45.33%，与2020年度相比，增加1.5万元，增长42.9%，主要原因是</w:t>
      </w:r>
      <w:r>
        <w:rPr>
          <w:rFonts w:hint="eastAsia" w:ascii="仿宋" w:hAnsi="仿宋" w:eastAsia="仿宋"/>
          <w:color w:val="000000"/>
          <w:sz w:val="28"/>
          <w:szCs w:val="28"/>
        </w:rPr>
        <w:t>上级及其他县市来兰溪工作调研交流频繁，工作沟通密切</w:t>
      </w:r>
      <w:r>
        <w:rPr>
          <w:rFonts w:hint="eastAsia" w:ascii="仿宋" w:hAnsi="仿宋" w:eastAsia="仿宋"/>
          <w:color w:val="000000"/>
          <w:sz w:val="28"/>
          <w:szCs w:val="28"/>
          <w:highlight w:val="white"/>
        </w:rPr>
        <w:t>。具体情况如下：</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（1）因公出国（境）费预算数为0万元，支出决算为0万元。完成预算的0%。主要用于机关及下属预算单位人员公务出国（境）的住宿费、国际旅费、培训费、公杂费等支出。</w:t>
      </w:r>
      <w:r>
        <w:rPr>
          <w:rFonts w:hint="eastAsia" w:ascii="仿宋" w:hAnsi="仿宋" w:eastAsia="仿宋"/>
          <w:color w:val="000000"/>
          <w:sz w:val="28"/>
          <w:szCs w:val="28"/>
        </w:rPr>
        <w:t>零增长的主要原因是没有因公出国计划和实际工作需要。</w:t>
      </w:r>
      <w:r>
        <w:rPr>
          <w:rFonts w:hint="eastAsia" w:ascii="仿宋" w:hAnsi="仿宋" w:eastAsia="仿宋"/>
          <w:color w:val="000000"/>
          <w:sz w:val="28"/>
          <w:szCs w:val="28"/>
          <w:highlight w:val="white"/>
        </w:rPr>
        <w:t>全年使用一般公共预算财政拨款支出涉及因公出国(境)团组0个；累计0人次。开支内容无。</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（2）公务用车购置及运行维护费预算数为4.21万元，支出决算为4.21万元，完成预算的100%，决算数等于预算数。</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公务用车购置预算数为0万元，支出决算为0万元（含购置税等附加费用），完成预算的0%。主要用于经批准购置的0辆公务用车。</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公务用车运行维护费预算数为4.21万元，支出4.21万元，完成预算的100%。决算数等于预算数。主要用于日常工资所需的公务用车燃料费、维修费、过路过桥费、保险费、安全奖励费用等支出；2021年度，本级及所属单位开支一般公共预算财政拨款的公务用车保有量为1辆。</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（3）公务接待费</w:t>
      </w:r>
      <w:r>
        <w:rPr>
          <w:rFonts w:hint="eastAsia" w:ascii="仿宋" w:hAnsi="仿宋" w:eastAsia="仿宋"/>
          <w:color w:val="000000"/>
          <w:sz w:val="28"/>
          <w:szCs w:val="28"/>
          <w:highlight w:val="white"/>
        </w:rPr>
        <w:t>预算数为3.5万元，支出决算为3.49万元，完成预算的99.71%。国内公务接待39批次，累计350人次。</w:t>
      </w:r>
      <w:r>
        <w:rPr>
          <w:rFonts w:hint="eastAsia" w:ascii="仿宋" w:hAnsi="仿宋" w:eastAsia="仿宋"/>
          <w:color w:val="000000"/>
          <w:sz w:val="28"/>
          <w:szCs w:val="28"/>
        </w:rPr>
        <w:t>主要用于接待上级及其他县市来兰溪工作调研交流等支出。决算数小于预算数的主要原因是我局厉行节约，严格把控公务接待费支出。</w:t>
      </w:r>
      <w:r>
        <w:rPr>
          <w:rFonts w:hint="eastAsia" w:ascii="仿宋" w:hAnsi="仿宋" w:eastAsia="仿宋"/>
          <w:color w:val="000000"/>
          <w:sz w:val="28"/>
          <w:szCs w:val="28"/>
          <w:highlight w:val="white"/>
        </w:rPr>
        <w:t>其中：</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主要用于接待</w:t>
      </w:r>
      <w:r>
        <w:rPr>
          <w:rFonts w:hint="eastAsia" w:ascii="仿宋" w:hAnsi="仿宋" w:eastAsia="仿宋"/>
          <w:color w:val="000000"/>
          <w:sz w:val="28"/>
          <w:szCs w:val="28"/>
        </w:rPr>
        <w:t>上级及其他县市来兰溪工作调研交流等支出</w:t>
      </w:r>
      <w:r>
        <w:rPr>
          <w:rFonts w:hint="eastAsia" w:ascii="仿宋" w:hAnsi="仿宋" w:eastAsia="仿宋"/>
          <w:color w:val="000000"/>
          <w:sz w:val="28"/>
          <w:szCs w:val="28"/>
          <w:highlight w:val="white"/>
        </w:rPr>
        <w:t>。</w:t>
      </w:r>
      <w:r>
        <w:rPr>
          <w:rFonts w:hint="eastAsia" w:ascii="仿宋" w:hAnsi="仿宋" w:eastAsia="仿宋"/>
          <w:color w:val="000000"/>
          <w:sz w:val="28"/>
          <w:szCs w:val="28"/>
        </w:rPr>
        <w:t>决算数小于预算数的主要原因是我局厉行节约，严格把控公务接待费支出，</w:t>
      </w:r>
      <w:r>
        <w:rPr>
          <w:rFonts w:hint="eastAsia" w:ascii="仿宋" w:hAnsi="仿宋" w:eastAsia="仿宋"/>
          <w:color w:val="000000"/>
          <w:sz w:val="28"/>
          <w:szCs w:val="28"/>
          <w:highlight w:val="white"/>
        </w:rPr>
        <w:t>全年使用一般公共预算财政拨款国内公务接待39团组，累计350人次。</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外事接待支出0万元，接待0批次，累计0人次。</w:t>
      </w:r>
    </w:p>
    <w:p>
      <w:pPr>
        <w:spacing w:line="324" w:lineRule="auto"/>
        <w:ind w:firstLine="594"/>
        <w:rPr>
          <w:rFonts w:ascii="仿宋" w:hAnsi="仿宋" w:eastAsia="仿宋"/>
          <w:color w:val="000000"/>
          <w:sz w:val="28"/>
          <w:szCs w:val="28"/>
          <w:highlight w:val="white"/>
        </w:rPr>
      </w:pPr>
      <w:r>
        <w:rPr>
          <w:rFonts w:hint="eastAsia" w:ascii="楷体" w:hAnsi="楷体" w:eastAsia="楷体"/>
          <w:b/>
          <w:color w:val="000000"/>
          <w:sz w:val="28"/>
          <w:szCs w:val="28"/>
          <w:highlight w:val="white"/>
        </w:rPr>
        <w:t>（十）机关运行经费支出说明</w:t>
      </w:r>
    </w:p>
    <w:p>
      <w:pPr>
        <w:spacing w:line="324" w:lineRule="auto"/>
        <w:ind w:firstLine="594"/>
        <w:rPr>
          <w:rFonts w:hint="eastAsia" w:ascii="仿宋" w:hAnsi="仿宋" w:eastAsia="仿宋"/>
          <w:b/>
          <w:sz w:val="28"/>
          <w:szCs w:val="28"/>
          <w:highlight w:val="white"/>
          <w:u w:val="single"/>
        </w:rPr>
      </w:pPr>
      <w:r>
        <w:rPr>
          <w:rFonts w:hint="eastAsia" w:ascii="仿宋" w:hAnsi="仿宋" w:eastAsia="仿宋"/>
          <w:color w:val="000000"/>
          <w:sz w:val="28"/>
          <w:szCs w:val="28"/>
          <w:highlight w:val="white"/>
        </w:rPr>
        <w:t>2021年度机关运行经费年初预算数为60.6万元，支出决算为60.76万元，完成年初预算的100.2%，决算数大于预算数的主要原因</w:t>
      </w:r>
      <w:r>
        <w:rPr>
          <w:rFonts w:hint="eastAsia" w:ascii="仿宋" w:hAnsi="仿宋" w:eastAsia="仿宋"/>
          <w:color w:val="000000"/>
          <w:sz w:val="28"/>
          <w:szCs w:val="28"/>
        </w:rPr>
        <w:t>我局日常公用经费支出较2020年度有所增加</w:t>
      </w:r>
      <w:r>
        <w:rPr>
          <w:rFonts w:hint="eastAsia" w:ascii="仿宋" w:hAnsi="仿宋" w:eastAsia="仿宋"/>
          <w:color w:val="000000"/>
          <w:sz w:val="28"/>
          <w:szCs w:val="28"/>
          <w:highlight w:val="white"/>
        </w:rPr>
        <w:t>；比2020年度减少3.49万元，下降5.74%，主要原因是</w:t>
      </w:r>
      <w:r>
        <w:rPr>
          <w:rFonts w:hint="eastAsia" w:ascii="仿宋" w:hAnsi="仿宋" w:eastAsia="仿宋"/>
          <w:color w:val="000000"/>
          <w:sz w:val="28"/>
          <w:szCs w:val="28"/>
        </w:rPr>
        <w:t>我局根据预算数把控各项支出</w:t>
      </w:r>
      <w:r>
        <w:rPr>
          <w:rFonts w:hint="eastAsia" w:ascii="仿宋" w:hAnsi="仿宋" w:eastAsia="仿宋"/>
          <w:color w:val="000000"/>
          <w:sz w:val="28"/>
          <w:szCs w:val="28"/>
          <w:highlight w:val="white"/>
        </w:rPr>
        <w:t>。</w:t>
      </w:r>
    </w:p>
    <w:p>
      <w:pPr>
        <w:spacing w:line="324" w:lineRule="auto"/>
        <w:ind w:firstLine="562" w:firstLineChars="200"/>
        <w:rPr>
          <w:rFonts w:hint="eastAsia" w:ascii="仿宋" w:hAnsi="仿宋" w:eastAsia="仿宋"/>
          <w:b/>
          <w:sz w:val="28"/>
          <w:szCs w:val="28"/>
          <w:highlight w:val="white"/>
          <w:u w:val="single"/>
        </w:rPr>
      </w:pPr>
      <w:r>
        <w:rPr>
          <w:rFonts w:hint="eastAsia" w:ascii="楷体" w:hAnsi="楷体" w:eastAsia="楷体"/>
          <w:b/>
          <w:color w:val="000000"/>
          <w:sz w:val="28"/>
          <w:szCs w:val="28"/>
          <w:highlight w:val="white"/>
        </w:rPr>
        <w:t>（十一）政府采购支出说明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2021年度政府采购支出总额5.81万元，其中：政府采购货物支出5.81万元、政府采购工程支出</w:t>
      </w:r>
      <w:r>
        <w:rPr>
          <w:rFonts w:hint="eastAsia" w:ascii="仿宋" w:hAnsi="仿宋" w:eastAsia="仿宋"/>
          <w:kern w:val="0"/>
          <w:sz w:val="28"/>
          <w:szCs w:val="28"/>
          <w:highlight w:val="white"/>
        </w:rPr>
        <w:t>0万元</w:t>
      </w:r>
      <w:r>
        <w:rPr>
          <w:rFonts w:hint="eastAsia" w:ascii="仿宋" w:hAnsi="仿宋" w:eastAsia="仿宋"/>
          <w:color w:val="000000"/>
          <w:sz w:val="28"/>
          <w:szCs w:val="28"/>
          <w:highlight w:val="white"/>
        </w:rPr>
        <w:t>、政府采购服务支出0万元。授予中小企业合同金额5.81万元，占政府采购支出总额的100%。其中，授予小微企业合同金额0万元，占授予中小企业合同金额的0%；货物采购授予中小企业合同金额占货物支出金额的100%，工程采购授予中小企业合同金额占工程支出金额的0%，服务采购授予中小企业合同金额占服务支出金额的0%。</w:t>
      </w:r>
    </w:p>
    <w:p>
      <w:pPr>
        <w:spacing w:line="324" w:lineRule="auto"/>
        <w:ind w:firstLine="594"/>
        <w:rPr>
          <w:rFonts w:hint="eastAsia" w:ascii="楷体" w:hAnsi="楷体" w:eastAsia="楷体"/>
          <w:b/>
          <w:color w:val="000000"/>
          <w:sz w:val="28"/>
          <w:szCs w:val="28"/>
          <w:highlight w:val="white"/>
        </w:rPr>
      </w:pPr>
      <w:r>
        <w:rPr>
          <w:rFonts w:hint="eastAsia" w:ascii="楷体" w:hAnsi="楷体" w:eastAsia="楷体"/>
          <w:b/>
          <w:color w:val="000000"/>
          <w:sz w:val="28"/>
          <w:szCs w:val="28"/>
          <w:highlight w:val="white"/>
        </w:rPr>
        <w:t>（十二）国有资产占有情况说明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截至2021年12月31日，兰溪市发展和改革局本级有车辆1辆，其中，副部（省）级及以上领导用车0辆、主要领导干部用车0辆、机要通信用车0辆、应急保障用车0辆、执法执勤用车1辆、特种专业技术用车0辆、离退休干部用车0辆、其他用车0辆,其他用车0辆；单价50万元以上通用设备0台（套），单价100万元以上专用设备0台（套）。</w:t>
      </w:r>
    </w:p>
    <w:p>
      <w:pPr>
        <w:spacing w:line="324" w:lineRule="auto"/>
        <w:ind w:firstLine="594"/>
        <w:rPr>
          <w:rFonts w:hint="eastAsia" w:ascii="仿宋" w:hAnsi="仿宋" w:eastAsia="仿宋"/>
          <w:color w:val="000000"/>
          <w:sz w:val="28"/>
          <w:szCs w:val="28"/>
          <w:highlight w:val="white"/>
        </w:rPr>
      </w:pPr>
      <w:r>
        <w:rPr>
          <w:rFonts w:hint="eastAsia" w:ascii="楷体" w:hAnsi="楷体" w:eastAsia="楷体"/>
          <w:b/>
          <w:color w:val="000000"/>
          <w:sz w:val="28"/>
          <w:szCs w:val="28"/>
          <w:highlight w:val="white"/>
        </w:rPr>
        <w:t>（十三）预算绩效情况说明</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b/>
          <w:color w:val="000000"/>
          <w:sz w:val="28"/>
          <w:szCs w:val="28"/>
          <w:highlight w:val="white"/>
        </w:rPr>
        <w:t>1.预算绩效管理工作开展情况。</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根据预算绩效管理要求，兰溪市发展和改革局(本级)组织对2021年度一般公共预算项目支出全面开展绩效自评，其中，一级项目0个，二级项目</w:t>
      </w:r>
      <w:r>
        <w:rPr>
          <w:rFonts w:hint="eastAsia" w:ascii="仿宋" w:hAnsi="仿宋" w:eastAsia="仿宋"/>
          <w:color w:val="000000"/>
          <w:sz w:val="28"/>
          <w:szCs w:val="28"/>
          <w:lang w:val="en-US" w:eastAsia="zh-CN"/>
        </w:rPr>
        <w:t>16</w:t>
      </w:r>
      <w:r>
        <w:rPr>
          <w:rFonts w:hint="eastAsia" w:ascii="仿宋" w:hAnsi="仿宋" w:eastAsia="仿宋"/>
          <w:color w:val="000000"/>
          <w:sz w:val="28"/>
          <w:szCs w:val="28"/>
        </w:rPr>
        <w:t>个，共涉及资金</w:t>
      </w:r>
      <w:r>
        <w:rPr>
          <w:rFonts w:hint="eastAsia" w:ascii="仿宋" w:hAnsi="仿宋" w:eastAsia="仿宋"/>
          <w:color w:val="000000"/>
          <w:sz w:val="28"/>
          <w:szCs w:val="28"/>
          <w:lang w:val="en-US" w:eastAsia="zh-CN"/>
        </w:rPr>
        <w:t>6849.25</w:t>
      </w:r>
      <w:r>
        <w:rPr>
          <w:rFonts w:hint="eastAsia" w:ascii="仿宋" w:hAnsi="仿宋" w:eastAsia="仿宋"/>
          <w:color w:val="000000"/>
          <w:sz w:val="28"/>
          <w:szCs w:val="28"/>
        </w:rPr>
        <w:t>万元，占一般公共预算项目支出总额的</w:t>
      </w:r>
      <w:r>
        <w:rPr>
          <w:rFonts w:hint="eastAsia" w:ascii="仿宋" w:hAnsi="仿宋" w:eastAsia="仿宋"/>
          <w:color w:val="000000"/>
          <w:sz w:val="28"/>
          <w:szCs w:val="28"/>
          <w:lang w:val="en-US" w:eastAsia="zh-CN"/>
        </w:rPr>
        <w:t>54.23</w:t>
      </w:r>
      <w:bookmarkStart w:id="0" w:name="_GoBack"/>
      <w:bookmarkEnd w:id="0"/>
      <w:r>
        <w:rPr>
          <w:rFonts w:hint="eastAsia" w:ascii="仿宋" w:hAnsi="仿宋" w:eastAsia="仿宋"/>
          <w:color w:val="000000"/>
          <w:sz w:val="28"/>
          <w:szCs w:val="28"/>
        </w:rPr>
        <w:t>%。组织对2021年度0个政府性基金预算项目支出开展绩效自评，共涉及资金0万元，占政府性基金预算项目支出总额的0%。</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本年无部政府性基金预算项目，故未开展政府性基金预算项目支出绩效自评。</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本年无国有资本经营预算项目。</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本年无部门评价。</w:t>
      </w:r>
    </w:p>
    <w:p>
      <w:pPr>
        <w:spacing w:line="324" w:lineRule="auto"/>
        <w:ind w:firstLine="594"/>
        <w:rPr>
          <w:rFonts w:hint="eastAsia" w:ascii="仿宋" w:hAnsi="仿宋" w:eastAsia="仿宋"/>
          <w:color w:val="000000"/>
          <w:sz w:val="28"/>
          <w:szCs w:val="28"/>
        </w:rPr>
      </w:pPr>
      <w:r>
        <w:rPr>
          <w:rFonts w:hint="eastAsia" w:ascii="仿宋" w:hAnsi="仿宋" w:eastAsia="仿宋"/>
          <w:color w:val="000000"/>
          <w:sz w:val="28"/>
          <w:szCs w:val="28"/>
        </w:rPr>
        <w:t>本年无部门整体支出绩效评价。</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rPr>
        <w:t>本年无下属单位整体支出绩效评价。</w:t>
      </w: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2.部门（单位）决算中项目绩效自评结果</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兰溪市发展和改革局在2021年度部门决算中反映</w:t>
      </w:r>
      <w:r>
        <w:rPr>
          <w:rFonts w:hint="eastAsia" w:ascii="仿宋" w:hAnsi="仿宋" w:eastAsia="仿宋"/>
          <w:color w:val="000000"/>
          <w:sz w:val="28"/>
          <w:szCs w:val="28"/>
        </w:rPr>
        <w:t>列车运营补贴</w:t>
      </w:r>
      <w:r>
        <w:rPr>
          <w:rFonts w:hint="eastAsia" w:ascii="仿宋" w:hAnsi="仿宋" w:eastAsia="仿宋"/>
          <w:color w:val="000000"/>
          <w:sz w:val="28"/>
          <w:szCs w:val="28"/>
          <w:highlight w:val="white"/>
        </w:rPr>
        <w:t>及公共信用信息平台项目绩效自评结果。</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rPr>
        <w:t>列车运营补贴</w:t>
      </w:r>
      <w:r>
        <w:rPr>
          <w:rFonts w:hint="eastAsia" w:ascii="仿宋" w:hAnsi="仿宋" w:eastAsia="仿宋"/>
          <w:color w:val="000000"/>
          <w:sz w:val="28"/>
          <w:szCs w:val="28"/>
          <w:highlight w:val="white"/>
        </w:rPr>
        <w:t>项目绩效自评综述：根据年初设定的绩效目标，项目自评得100分，自评结论为“优”。项目全年预算数为210万元，执行数为210万元，完成预算的100%。项目绩效目标完成情况：</w:t>
      </w:r>
      <w:r>
        <w:rPr>
          <w:rFonts w:hint="eastAsia" w:ascii="仿宋" w:hAnsi="仿宋" w:eastAsia="仿宋"/>
          <w:color w:val="000000"/>
          <w:sz w:val="28"/>
          <w:szCs w:val="28"/>
        </w:rPr>
        <w:t>保障兰溪段铁路正常运营</w:t>
      </w:r>
      <w:r>
        <w:rPr>
          <w:rFonts w:hint="eastAsia" w:ascii="仿宋" w:hAnsi="仿宋" w:eastAsia="仿宋"/>
          <w:color w:val="000000"/>
          <w:sz w:val="28"/>
          <w:szCs w:val="28"/>
          <w:highlight w:val="white"/>
        </w:rPr>
        <w:t>。发现的问题及原因：无。下一步改进措施：无。</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附</w:t>
      </w:r>
      <w:r>
        <w:rPr>
          <w:rFonts w:hint="eastAsia" w:ascii="仿宋" w:hAnsi="仿宋" w:eastAsia="仿宋"/>
          <w:color w:val="000000"/>
          <w:sz w:val="28"/>
          <w:szCs w:val="28"/>
        </w:rPr>
        <w:t>列车运营补贴</w:t>
      </w:r>
      <w:r>
        <w:rPr>
          <w:rFonts w:hint="eastAsia" w:ascii="仿宋" w:hAnsi="仿宋" w:eastAsia="仿宋"/>
          <w:color w:val="000000"/>
          <w:sz w:val="28"/>
          <w:szCs w:val="28"/>
          <w:highlight w:val="white"/>
        </w:rPr>
        <w:t>项目绩效自评表。</w:t>
      </w:r>
    </w:p>
    <w:tbl>
      <w:tblPr>
        <w:tblStyle w:val="2"/>
        <w:tblW w:w="9586" w:type="dxa"/>
        <w:tblInd w:w="93" w:type="dxa"/>
        <w:tblLayout w:type="autofit"/>
        <w:tblCellMar>
          <w:top w:w="0" w:type="dxa"/>
          <w:left w:w="108" w:type="dxa"/>
          <w:bottom w:w="0" w:type="dxa"/>
          <w:right w:w="108" w:type="dxa"/>
        </w:tblCellMar>
      </w:tblPr>
      <w:tblGrid>
        <w:gridCol w:w="561"/>
        <w:gridCol w:w="1141"/>
        <w:gridCol w:w="1470"/>
        <w:gridCol w:w="199"/>
        <w:gridCol w:w="198"/>
        <w:gridCol w:w="1487"/>
        <w:gridCol w:w="1523"/>
        <w:gridCol w:w="1020"/>
        <w:gridCol w:w="976"/>
        <w:gridCol w:w="1196"/>
      </w:tblGrid>
      <w:tr>
        <w:tblPrEx>
          <w:tblCellMar>
            <w:top w:w="0" w:type="dxa"/>
            <w:left w:w="108" w:type="dxa"/>
            <w:bottom w:w="0" w:type="dxa"/>
            <w:right w:w="108" w:type="dxa"/>
          </w:tblCellMar>
        </w:tblPrEx>
        <w:trPr>
          <w:trHeight w:val="765" w:hRule="atLeast"/>
        </w:trPr>
        <w:tc>
          <w:tcPr>
            <w:tcW w:w="9586" w:type="dxa"/>
            <w:gridSpan w:val="10"/>
            <w:tcBorders>
              <w:top w:val="nil"/>
              <w:left w:val="nil"/>
              <w:bottom w:val="nil"/>
              <w:right w:val="nil"/>
            </w:tcBorders>
            <w:shd w:val="clear" w:color="auto" w:fill="auto"/>
            <w:noWrap/>
            <w:vAlign w:val="center"/>
          </w:tcPr>
          <w:p>
            <w:pPr>
              <w:spacing w:line="324" w:lineRule="auto"/>
              <w:rPr>
                <w:rFonts w:ascii="方正小标宋简体" w:hAnsi="宋体" w:eastAsia="方正小标宋简体" w:cs="宋体"/>
                <w:color w:val="000000"/>
                <w:kern w:val="0"/>
                <w:sz w:val="36"/>
                <w:szCs w:val="36"/>
              </w:rPr>
            </w:pPr>
          </w:p>
        </w:tc>
      </w:tr>
      <w:tr>
        <w:tblPrEx>
          <w:tblCellMar>
            <w:top w:w="0" w:type="dxa"/>
            <w:left w:w="108" w:type="dxa"/>
            <w:bottom w:w="0" w:type="dxa"/>
            <w:right w:w="108" w:type="dxa"/>
          </w:tblCellMar>
        </w:tblPrEx>
        <w:trPr>
          <w:trHeight w:val="315" w:hRule="atLeast"/>
        </w:trPr>
        <w:tc>
          <w:tcPr>
            <w:tcW w:w="9586" w:type="dxa"/>
            <w:gridSpan w:val="10"/>
            <w:tcBorders>
              <w:top w:val="nil"/>
              <w:left w:val="nil"/>
              <w:bottom w:val="nil"/>
              <w:right w:val="nil"/>
            </w:tcBorders>
            <w:shd w:val="clear" w:color="auto" w:fill="auto"/>
            <w:noWrap/>
            <w:vAlign w:val="center"/>
          </w:tcPr>
          <w:p>
            <w:pPr>
              <w:widowControl/>
              <w:jc w:val="center"/>
              <w:rPr>
                <w:rFonts w:ascii="Times New Roman" w:hAnsi="Times New Roman"/>
                <w:color w:val="000000"/>
                <w:kern w:val="0"/>
                <w:sz w:val="20"/>
                <w:szCs w:val="20"/>
              </w:rPr>
            </w:pPr>
            <w:r>
              <w:rPr>
                <w:rFonts w:ascii="仿宋_GB2312" w:hAnsi="Times New Roman" w:eastAsia="仿宋_GB2312"/>
                <w:color w:val="000000"/>
                <w:kern w:val="0"/>
                <w:sz w:val="20"/>
              </w:rPr>
              <w:t>（</w:t>
            </w:r>
            <w:r>
              <w:rPr>
                <w:rFonts w:ascii="Times New Roman" w:hAnsi="Times New Roman"/>
                <w:color w:val="000000"/>
                <w:kern w:val="0"/>
                <w:sz w:val="20"/>
              </w:rPr>
              <w:t>2021</w:t>
            </w:r>
            <w:r>
              <w:rPr>
                <w:rFonts w:ascii="仿宋_GB2312" w:hAnsi="Times New Roman" w:eastAsia="仿宋_GB2312"/>
                <w:color w:val="000000"/>
                <w:kern w:val="0"/>
                <w:sz w:val="20"/>
              </w:rPr>
              <w:t>年度）</w:t>
            </w:r>
          </w:p>
        </w:tc>
      </w:tr>
      <w:tr>
        <w:tblPrEx>
          <w:tblCellMar>
            <w:top w:w="0" w:type="dxa"/>
            <w:left w:w="108" w:type="dxa"/>
            <w:bottom w:w="0" w:type="dxa"/>
            <w:right w:w="108" w:type="dxa"/>
          </w:tblCellMar>
        </w:tblPrEx>
        <w:trPr>
          <w:trHeight w:val="402"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884"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列车运营补贴</w:t>
            </w:r>
          </w:p>
        </w:tc>
      </w:tr>
      <w:tr>
        <w:tblPrEx>
          <w:tblCellMar>
            <w:top w:w="0" w:type="dxa"/>
            <w:left w:w="108" w:type="dxa"/>
            <w:bottom w:w="0" w:type="dxa"/>
            <w:right w:w="108" w:type="dxa"/>
          </w:tblCellMar>
        </w:tblPrEx>
        <w:trPr>
          <w:trHeight w:val="402" w:hRule="atLeast"/>
        </w:trPr>
        <w:tc>
          <w:tcPr>
            <w:tcW w:w="1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1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301-兰溪市发展和改革局</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w:t>
            </w:r>
          </w:p>
        </w:tc>
        <w:tc>
          <w:tcPr>
            <w:tcW w:w="31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rPr>
              <w:t>301000-</w:t>
            </w:r>
            <w:r>
              <w:rPr>
                <w:rFonts w:ascii="宋体" w:hAnsi="宋体"/>
                <w:color w:val="000000"/>
                <w:kern w:val="0"/>
                <w:sz w:val="18"/>
              </w:rPr>
              <w:t>兰溪市发展和改革局</w:t>
            </w:r>
          </w:p>
        </w:tc>
      </w:tr>
      <w:tr>
        <w:tblPrEx>
          <w:tblCellMar>
            <w:top w:w="0" w:type="dxa"/>
            <w:left w:w="108" w:type="dxa"/>
            <w:bottom w:w="0" w:type="dxa"/>
            <w:right w:w="108" w:type="dxa"/>
          </w:tblCellMar>
        </w:tblPrEx>
        <w:trPr>
          <w:trHeight w:val="540" w:hRule="atLeast"/>
        </w:trPr>
        <w:tc>
          <w:tcPr>
            <w:tcW w:w="1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5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cs="宋体"/>
                <w:color w:val="000000"/>
                <w:kern w:val="0"/>
              </w:rPr>
            </w:pPr>
            <w:r>
              <w:rPr>
                <w:rFonts w:cs="宋体"/>
                <w:color w:val="000000"/>
                <w:kern w:val="0"/>
              </w:rPr>
              <w:t>资金来源</w:t>
            </w:r>
          </w:p>
        </w:tc>
        <w:tc>
          <w:tcPr>
            <w:tcW w:w="15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年初预算数</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全年预算数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全年执行数</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全年执行数(其他)</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执行率</w:t>
            </w:r>
          </w:p>
        </w:tc>
      </w:tr>
      <w:tr>
        <w:tblPrEx>
          <w:tblCellMar>
            <w:top w:w="0" w:type="dxa"/>
            <w:left w:w="108" w:type="dxa"/>
            <w:bottom w:w="0" w:type="dxa"/>
            <w:right w:w="108" w:type="dxa"/>
          </w:tblCellMar>
        </w:tblPrEx>
        <w:trPr>
          <w:trHeight w:val="402" w:hRule="atLeast"/>
        </w:trPr>
        <w:tc>
          <w:tcPr>
            <w:tcW w:w="1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7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kern w:val="0"/>
              </w:rPr>
            </w:pPr>
          </w:p>
        </w:tc>
        <w:tc>
          <w:tcPr>
            <w:tcW w:w="159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rPr>
              <w:t>（</w:t>
            </w:r>
            <w:r>
              <w:rPr>
                <w:rFonts w:ascii="Times New Roman" w:hAnsi="Times New Roman"/>
                <w:color w:val="000000"/>
                <w:kern w:val="0"/>
                <w:sz w:val="18"/>
              </w:rPr>
              <w:t>A</w:t>
            </w:r>
            <w:r>
              <w:rPr>
                <w:rFonts w:ascii="宋体" w:hAnsi="宋体" w:cs="宋体"/>
                <w:color w:val="000000"/>
                <w:kern w:val="0"/>
                <w:sz w:val="18"/>
              </w:rPr>
              <w:t>）</w:t>
            </w: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rPr>
              <w:t>（</w:t>
            </w:r>
            <w:r>
              <w:rPr>
                <w:rFonts w:ascii="Times New Roman" w:hAnsi="Times New Roman"/>
                <w:color w:val="000000"/>
                <w:kern w:val="0"/>
                <w:sz w:val="18"/>
              </w:rPr>
              <w:t>B</w:t>
            </w:r>
            <w:r>
              <w:rPr>
                <w:rFonts w:ascii="宋体" w:hAnsi="宋体" w:cs="宋体"/>
                <w:color w:val="000000"/>
                <w:kern w:val="0"/>
                <w:sz w:val="18"/>
              </w:rPr>
              <w:t>）</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rPr>
              <w:t>（</w:t>
            </w:r>
            <w:r>
              <w:rPr>
                <w:rFonts w:ascii="Times New Roman" w:hAnsi="Times New Roman"/>
                <w:color w:val="000000"/>
                <w:kern w:val="0"/>
                <w:sz w:val="18"/>
              </w:rPr>
              <w:t>B/A</w:t>
            </w:r>
            <w:r>
              <w:rPr>
                <w:rFonts w:ascii="宋体" w:hAnsi="宋体" w:cs="宋体"/>
                <w:color w:val="000000"/>
                <w:kern w:val="0"/>
                <w:sz w:val="18"/>
              </w:rPr>
              <w:t>）</w:t>
            </w:r>
          </w:p>
        </w:tc>
      </w:tr>
      <w:tr>
        <w:tblPrEx>
          <w:tblCellMar>
            <w:top w:w="0" w:type="dxa"/>
            <w:left w:w="108" w:type="dxa"/>
            <w:bottom w:w="0" w:type="dxa"/>
            <w:right w:w="108" w:type="dxa"/>
          </w:tblCellMar>
        </w:tblPrEx>
        <w:trPr>
          <w:trHeight w:val="402" w:hRule="atLeast"/>
        </w:trPr>
        <w:tc>
          <w:tcPr>
            <w:tcW w:w="1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年度资金总额</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210</w:t>
            </w:r>
          </w:p>
        </w:tc>
        <w:tc>
          <w:tcPr>
            <w:tcW w:w="1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210</w:t>
            </w: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100.00%</w:t>
            </w:r>
          </w:p>
        </w:tc>
      </w:tr>
      <w:tr>
        <w:tblPrEx>
          <w:tblCellMar>
            <w:top w:w="0" w:type="dxa"/>
            <w:left w:w="108" w:type="dxa"/>
            <w:bottom w:w="0" w:type="dxa"/>
            <w:right w:w="108" w:type="dxa"/>
          </w:tblCellMar>
        </w:tblPrEx>
        <w:trPr>
          <w:trHeight w:val="402" w:hRule="atLeast"/>
        </w:trPr>
        <w:tc>
          <w:tcPr>
            <w:tcW w:w="1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一般公共预算资金</w:t>
            </w:r>
          </w:p>
        </w:tc>
        <w:tc>
          <w:tcPr>
            <w:tcW w:w="1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210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100.00%</w:t>
            </w:r>
          </w:p>
        </w:tc>
      </w:tr>
      <w:tr>
        <w:tblPrEx>
          <w:tblCellMar>
            <w:top w:w="0" w:type="dxa"/>
            <w:left w:w="108" w:type="dxa"/>
            <w:bottom w:w="0" w:type="dxa"/>
            <w:right w:w="108" w:type="dxa"/>
          </w:tblCellMar>
        </w:tblPrEx>
        <w:trPr>
          <w:trHeight w:val="312" w:hRule="atLeast"/>
        </w:trPr>
        <w:tc>
          <w:tcPr>
            <w:tcW w:w="1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316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预期目标</w:t>
            </w:r>
          </w:p>
        </w:tc>
        <w:tc>
          <w:tcPr>
            <w:tcW w:w="471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实际完成情况</w:t>
            </w:r>
          </w:p>
        </w:tc>
      </w:tr>
      <w:tr>
        <w:tblPrEx>
          <w:tblCellMar>
            <w:top w:w="0" w:type="dxa"/>
            <w:left w:w="108" w:type="dxa"/>
            <w:bottom w:w="0" w:type="dxa"/>
            <w:right w:w="108" w:type="dxa"/>
          </w:tblCellMar>
        </w:tblPrEx>
        <w:trPr>
          <w:trHeight w:val="312" w:hRule="atLeast"/>
        </w:trPr>
        <w:tc>
          <w:tcPr>
            <w:tcW w:w="1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16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71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380" w:hRule="atLeast"/>
        </w:trPr>
        <w:tc>
          <w:tcPr>
            <w:tcW w:w="17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1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保障兰溪段铁路正常运营</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保了兰溪段铁路正常运营</w:t>
            </w:r>
          </w:p>
        </w:tc>
      </w:tr>
      <w:tr>
        <w:tblPrEx>
          <w:tblCellMar>
            <w:top w:w="0" w:type="dxa"/>
            <w:left w:w="108" w:type="dxa"/>
            <w:bottom w:w="0" w:type="dxa"/>
            <w:right w:w="108" w:type="dxa"/>
          </w:tblCellMar>
        </w:tblPrEx>
        <w:trPr>
          <w:trHeight w:val="680" w:hRule="atLeast"/>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绩效指标</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年度指标值</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实际完成值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得分</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偏差原因分析及改进措施</w:t>
            </w:r>
          </w:p>
        </w:tc>
      </w:tr>
      <w:tr>
        <w:tblPrEx>
          <w:tblCellMar>
            <w:top w:w="0" w:type="dxa"/>
            <w:left w:w="108" w:type="dxa"/>
            <w:bottom w:w="0" w:type="dxa"/>
            <w:right w:w="108" w:type="dxa"/>
          </w:tblCellMar>
        </w:tblPrEx>
        <w:trPr>
          <w:trHeight w:val="24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产出指标(50.00分)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质量指标(10.00分)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列车运行情况</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保障列车正常运行</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24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时效指标(40.00分)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资金拨付时间</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＝2021年</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＝2021年</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40.00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24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效益指标(40.00分)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经济效益指标(10.00分)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出行成本</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降低群众出行成本</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社会效益指标(20.00分)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出行效率</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提高群众出行效率</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生态效益指标(0分)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可持续影响指标(10.00分)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铁路路网建设</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推进铁路路网建设</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优</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720" w:hRule="atLeast"/>
        </w:trPr>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满意度指标(10.00分)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服务对象满意度指标(10.00分)</w:t>
            </w:r>
          </w:p>
        </w:tc>
        <w:tc>
          <w:tcPr>
            <w:tcW w:w="2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乘客满意度</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≥80%</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63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总</w:t>
            </w:r>
            <w:r>
              <w:rPr>
                <w:rFonts w:ascii="Times New Roman" w:hAnsi="Times New Roman"/>
                <w:b/>
                <w:bCs/>
                <w:color w:val="000000"/>
                <w:kern w:val="0"/>
              </w:rPr>
              <w:t xml:space="preserve">  </w:t>
            </w:r>
            <w:r>
              <w:rPr>
                <w:rFonts w:ascii="宋体" w:hAnsi="宋体" w:cs="宋体"/>
                <w:b/>
                <w:bCs/>
                <w:color w:val="000000"/>
                <w:kern w:val="0"/>
              </w:rPr>
              <w:t>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100</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18"/>
                <w:szCs w:val="18"/>
              </w:rPr>
            </w:pPr>
          </w:p>
        </w:tc>
      </w:tr>
    </w:tbl>
    <w:p>
      <w:pPr>
        <w:spacing w:line="324" w:lineRule="auto"/>
        <w:ind w:firstLine="594"/>
        <w:rPr>
          <w:rFonts w:hint="eastAsia" w:ascii="仿宋" w:hAnsi="仿宋" w:eastAsia="仿宋"/>
          <w:b/>
          <w:color w:val="000000"/>
          <w:sz w:val="28"/>
          <w:szCs w:val="28"/>
          <w:highlight w:val="white"/>
        </w:rPr>
      </w:pPr>
      <w:r>
        <w:rPr>
          <w:rFonts w:hint="eastAsia" w:ascii="仿宋" w:hAnsi="仿宋" w:eastAsia="仿宋"/>
          <w:color w:val="000000"/>
          <w:sz w:val="28"/>
          <w:szCs w:val="28"/>
          <w:highlight w:val="white"/>
        </w:rPr>
        <w:t>公共信用信息平台项目绩效自评综述：根据年初设定的绩效目标，项目自评得分100分，自评结论为“优”。项目全年预算数为30万元，执行数为29.88万元，完成预算的99.6%。项目绩效目标完成情况：</w:t>
      </w:r>
      <w:r>
        <w:rPr>
          <w:rFonts w:hint="eastAsia" w:ascii="仿宋" w:hAnsi="仿宋" w:eastAsia="仿宋"/>
          <w:color w:val="000000"/>
          <w:sz w:val="28"/>
          <w:szCs w:val="28"/>
        </w:rPr>
        <w:t>持续推进社会信用体系建设各项工作</w:t>
      </w:r>
      <w:r>
        <w:rPr>
          <w:rFonts w:hint="eastAsia" w:ascii="仿宋" w:hAnsi="仿宋" w:eastAsia="仿宋"/>
          <w:color w:val="000000"/>
          <w:sz w:val="28"/>
          <w:szCs w:val="28"/>
          <w:highlight w:val="white"/>
        </w:rPr>
        <w:t>。发现的问题及原因：无。下一步改进措施：无</w:t>
      </w:r>
      <w:r>
        <w:rPr>
          <w:rFonts w:hint="eastAsia" w:ascii="仿宋" w:hAnsi="仿宋" w:eastAsia="仿宋"/>
          <w:b/>
          <w:color w:val="000000"/>
          <w:sz w:val="28"/>
          <w:szCs w:val="28"/>
          <w:highlight w:val="white"/>
        </w:rPr>
        <w:t>。</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附公共信用信息平台项目绩效自评表。</w:t>
      </w:r>
    </w:p>
    <w:tbl>
      <w:tblPr>
        <w:tblStyle w:val="2"/>
        <w:tblW w:w="10022" w:type="dxa"/>
        <w:tblInd w:w="93" w:type="dxa"/>
        <w:tblLayout w:type="autofit"/>
        <w:tblCellMar>
          <w:top w:w="0" w:type="dxa"/>
          <w:left w:w="108" w:type="dxa"/>
          <w:bottom w:w="0" w:type="dxa"/>
          <w:right w:w="108" w:type="dxa"/>
        </w:tblCellMar>
      </w:tblPr>
      <w:tblGrid>
        <w:gridCol w:w="562"/>
        <w:gridCol w:w="1112"/>
        <w:gridCol w:w="1470"/>
        <w:gridCol w:w="321"/>
        <w:gridCol w:w="255"/>
        <w:gridCol w:w="1685"/>
        <w:gridCol w:w="1591"/>
        <w:gridCol w:w="906"/>
        <w:gridCol w:w="814"/>
        <w:gridCol w:w="1491"/>
      </w:tblGrid>
      <w:tr>
        <w:tblPrEx>
          <w:tblCellMar>
            <w:top w:w="0" w:type="dxa"/>
            <w:left w:w="108" w:type="dxa"/>
            <w:bottom w:w="0" w:type="dxa"/>
            <w:right w:w="108" w:type="dxa"/>
          </w:tblCellMar>
        </w:tblPrEx>
        <w:trPr>
          <w:trHeight w:val="315" w:hRule="atLeast"/>
        </w:trPr>
        <w:tc>
          <w:tcPr>
            <w:tcW w:w="10022" w:type="dxa"/>
            <w:gridSpan w:val="10"/>
            <w:tcBorders>
              <w:top w:val="nil"/>
              <w:left w:val="nil"/>
              <w:bottom w:val="nil"/>
              <w:right w:val="nil"/>
            </w:tcBorders>
            <w:shd w:val="clear" w:color="auto" w:fill="auto"/>
            <w:noWrap/>
            <w:vAlign w:val="center"/>
          </w:tcPr>
          <w:p>
            <w:pPr>
              <w:widowControl/>
              <w:jc w:val="center"/>
              <w:rPr>
                <w:rFonts w:ascii="Times New Roman" w:hAnsi="Times New Roman"/>
                <w:color w:val="000000"/>
                <w:kern w:val="0"/>
                <w:sz w:val="20"/>
                <w:szCs w:val="20"/>
              </w:rPr>
            </w:pPr>
            <w:r>
              <w:rPr>
                <w:rFonts w:ascii="仿宋_GB2312" w:hAnsi="Times New Roman" w:eastAsia="仿宋_GB2312"/>
                <w:color w:val="000000"/>
                <w:kern w:val="0"/>
                <w:sz w:val="20"/>
                <w:szCs w:val="20"/>
              </w:rPr>
              <w:t>（</w:t>
            </w:r>
            <w:r>
              <w:rPr>
                <w:rFonts w:ascii="Times New Roman" w:hAnsi="Times New Roman"/>
                <w:color w:val="000000"/>
                <w:kern w:val="0"/>
                <w:sz w:val="20"/>
              </w:rPr>
              <w:t>2021</w:t>
            </w:r>
            <w:r>
              <w:rPr>
                <w:rFonts w:ascii="仿宋_GB2312" w:hAnsi="Times New Roman" w:eastAsia="仿宋_GB2312"/>
                <w:color w:val="000000"/>
                <w:kern w:val="0"/>
                <w:sz w:val="20"/>
                <w:szCs w:val="20"/>
              </w:rPr>
              <w:t>年度）</w:t>
            </w:r>
          </w:p>
        </w:tc>
      </w:tr>
      <w:tr>
        <w:tblPrEx>
          <w:tblCellMar>
            <w:top w:w="0" w:type="dxa"/>
            <w:left w:w="108" w:type="dxa"/>
            <w:bottom w:w="0" w:type="dxa"/>
            <w:right w:w="108" w:type="dxa"/>
          </w:tblCellMar>
        </w:tblPrEx>
        <w:trPr>
          <w:trHeight w:val="402" w:hRule="atLeast"/>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834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公共信用信息平台</w:t>
            </w:r>
          </w:p>
        </w:tc>
      </w:tr>
      <w:tr>
        <w:tblPrEx>
          <w:tblCellMar>
            <w:top w:w="0" w:type="dxa"/>
            <w:left w:w="108" w:type="dxa"/>
            <w:bottom w:w="0" w:type="dxa"/>
            <w:right w:w="108" w:type="dxa"/>
          </w:tblCellMar>
        </w:tblPrEx>
        <w:trPr>
          <w:trHeight w:val="402" w:hRule="atLeast"/>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5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rPr>
            </w:pPr>
            <w:r>
              <w:rPr>
                <w:rFonts w:hint="eastAsia" w:ascii="宋体" w:hAnsi="宋体" w:cs="宋体"/>
                <w:color w:val="000000"/>
                <w:kern w:val="0"/>
              </w:rPr>
              <w:t>301-兰溪市发展和改革局</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w:t>
            </w:r>
          </w:p>
        </w:tc>
        <w:tc>
          <w:tcPr>
            <w:tcW w:w="32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18"/>
                <w:szCs w:val="18"/>
              </w:rPr>
            </w:pPr>
            <w:r>
              <w:rPr>
                <w:rFonts w:ascii="Times New Roman" w:hAnsi="Times New Roman"/>
                <w:color w:val="000000"/>
                <w:kern w:val="0"/>
                <w:sz w:val="18"/>
              </w:rPr>
              <w:t>301000-</w:t>
            </w:r>
            <w:r>
              <w:rPr>
                <w:rFonts w:ascii="宋体" w:hAnsi="宋体"/>
                <w:color w:val="000000"/>
                <w:kern w:val="0"/>
                <w:sz w:val="18"/>
              </w:rPr>
              <w:t>兰溪市发展和改革局</w:t>
            </w:r>
          </w:p>
        </w:tc>
      </w:tr>
      <w:tr>
        <w:tblPrEx>
          <w:tblCellMar>
            <w:top w:w="0" w:type="dxa"/>
            <w:left w:w="108" w:type="dxa"/>
            <w:bottom w:w="0" w:type="dxa"/>
            <w:right w:w="108" w:type="dxa"/>
          </w:tblCellMar>
        </w:tblPrEx>
        <w:trPr>
          <w:trHeight w:val="780" w:hRule="atLeast"/>
        </w:trPr>
        <w:tc>
          <w:tcPr>
            <w:tcW w:w="16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6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cs="宋体"/>
                <w:color w:val="000000"/>
                <w:kern w:val="0"/>
              </w:rPr>
            </w:pPr>
            <w:r>
              <w:rPr>
                <w:rFonts w:cs="宋体"/>
                <w:color w:val="000000"/>
                <w:kern w:val="0"/>
              </w:rPr>
              <w:t>资金来源</w:t>
            </w:r>
          </w:p>
        </w:tc>
        <w:tc>
          <w:tcPr>
            <w:tcW w:w="18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年初预算数</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全年预算数</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全年执行数</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全年执行数(其他)</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执行率</w:t>
            </w:r>
          </w:p>
        </w:tc>
      </w:tr>
      <w:tr>
        <w:tblPrEx>
          <w:tblCellMar>
            <w:top w:w="0" w:type="dxa"/>
            <w:left w:w="108" w:type="dxa"/>
            <w:bottom w:w="0" w:type="dxa"/>
            <w:right w:w="108" w:type="dxa"/>
          </w:tblCellMar>
        </w:tblPrEx>
        <w:trPr>
          <w:trHeight w:val="480" w:hRule="atLeast"/>
        </w:trPr>
        <w:tc>
          <w:tcPr>
            <w:tcW w:w="16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8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kern w:val="0"/>
              </w:rPr>
            </w:pPr>
          </w:p>
        </w:tc>
        <w:tc>
          <w:tcPr>
            <w:tcW w:w="185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rPr>
              <w:t>（</w:t>
            </w:r>
            <w:r>
              <w:rPr>
                <w:rFonts w:ascii="Times New Roman" w:hAnsi="Times New Roman"/>
                <w:color w:val="000000"/>
                <w:kern w:val="0"/>
                <w:sz w:val="18"/>
              </w:rPr>
              <w:t>A</w:t>
            </w:r>
            <w:r>
              <w:rPr>
                <w:rFonts w:ascii="宋体" w:hAnsi="宋体" w:cs="宋体"/>
                <w:color w:val="000000"/>
                <w:kern w:val="0"/>
                <w:sz w:val="18"/>
              </w:rPr>
              <w:t>）</w:t>
            </w:r>
          </w:p>
        </w:tc>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ascii="宋体" w:hAnsi="宋体" w:cs="宋体"/>
                <w:color w:val="000000"/>
                <w:kern w:val="0"/>
                <w:sz w:val="18"/>
              </w:rPr>
              <w:t>（</w:t>
            </w:r>
            <w:r>
              <w:rPr>
                <w:rFonts w:ascii="Times New Roman" w:hAnsi="Times New Roman"/>
                <w:color w:val="000000"/>
                <w:kern w:val="0"/>
                <w:sz w:val="18"/>
              </w:rPr>
              <w:t>B</w:t>
            </w:r>
            <w:r>
              <w:rPr>
                <w:rFonts w:ascii="宋体" w:hAnsi="宋体" w:cs="宋体"/>
                <w:color w:val="000000"/>
                <w:kern w:val="0"/>
                <w:sz w:val="18"/>
              </w:rPr>
              <w:t>）</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ascii="宋体" w:hAnsi="宋体" w:cs="宋体"/>
                <w:color w:val="000000"/>
                <w:kern w:val="0"/>
                <w:sz w:val="18"/>
              </w:rPr>
              <w:t>（</w:t>
            </w:r>
            <w:r>
              <w:rPr>
                <w:rFonts w:ascii="Times New Roman" w:hAnsi="Times New Roman"/>
                <w:color w:val="000000"/>
                <w:kern w:val="0"/>
                <w:sz w:val="18"/>
              </w:rPr>
              <w:t>B/A</w:t>
            </w:r>
            <w:r>
              <w:rPr>
                <w:rFonts w:ascii="宋体" w:hAnsi="宋体" w:cs="宋体"/>
                <w:color w:val="000000"/>
                <w:kern w:val="0"/>
                <w:sz w:val="18"/>
              </w:rPr>
              <w:t>）</w:t>
            </w:r>
          </w:p>
        </w:tc>
      </w:tr>
      <w:tr>
        <w:tblPrEx>
          <w:tblCellMar>
            <w:top w:w="0" w:type="dxa"/>
            <w:left w:w="108" w:type="dxa"/>
            <w:bottom w:w="0" w:type="dxa"/>
            <w:right w:w="108" w:type="dxa"/>
          </w:tblCellMar>
        </w:tblPrEx>
        <w:trPr>
          <w:trHeight w:val="402" w:hRule="atLeast"/>
        </w:trPr>
        <w:tc>
          <w:tcPr>
            <w:tcW w:w="16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年度资金总额</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29.88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99.60%</w:t>
            </w:r>
          </w:p>
        </w:tc>
      </w:tr>
      <w:tr>
        <w:tblPrEx>
          <w:tblCellMar>
            <w:top w:w="0" w:type="dxa"/>
            <w:left w:w="108" w:type="dxa"/>
            <w:bottom w:w="0" w:type="dxa"/>
            <w:right w:w="108" w:type="dxa"/>
          </w:tblCellMar>
        </w:tblPrEx>
        <w:trPr>
          <w:trHeight w:val="402" w:hRule="atLeast"/>
        </w:trPr>
        <w:tc>
          <w:tcPr>
            <w:tcW w:w="16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一般公共预算资金</w:t>
            </w:r>
          </w:p>
        </w:tc>
        <w:tc>
          <w:tcPr>
            <w:tcW w:w="18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29.88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99.60%</w:t>
            </w:r>
          </w:p>
        </w:tc>
      </w:tr>
      <w:tr>
        <w:tblPrEx>
          <w:tblCellMar>
            <w:top w:w="0" w:type="dxa"/>
            <w:left w:w="108" w:type="dxa"/>
            <w:bottom w:w="0" w:type="dxa"/>
            <w:right w:w="108" w:type="dxa"/>
          </w:tblCellMar>
        </w:tblPrEx>
        <w:trPr>
          <w:trHeight w:val="312" w:hRule="atLeast"/>
        </w:trPr>
        <w:tc>
          <w:tcPr>
            <w:tcW w:w="16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354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预期目标</w:t>
            </w:r>
          </w:p>
        </w:tc>
        <w:tc>
          <w:tcPr>
            <w:tcW w:w="480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实际完成情况</w:t>
            </w:r>
          </w:p>
        </w:tc>
      </w:tr>
      <w:tr>
        <w:tblPrEx>
          <w:tblCellMar>
            <w:top w:w="0" w:type="dxa"/>
            <w:left w:w="108" w:type="dxa"/>
            <w:bottom w:w="0" w:type="dxa"/>
            <w:right w:w="108" w:type="dxa"/>
          </w:tblCellMar>
        </w:tblPrEx>
        <w:trPr>
          <w:trHeight w:val="312" w:hRule="atLeast"/>
        </w:trPr>
        <w:tc>
          <w:tcPr>
            <w:tcW w:w="16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546"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802"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1260" w:hRule="atLeast"/>
        </w:trPr>
        <w:tc>
          <w:tcPr>
            <w:tcW w:w="16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5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我市城市（县级市）信用监测全国排名从被约谈边缘的全国342位上升到17位。持续推进社会信用体系建设各项工作，争取全国信用排名争先进位。</w:t>
            </w:r>
          </w:p>
        </w:tc>
        <w:tc>
          <w:tcPr>
            <w:tcW w:w="48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持续推进社会信用体系建设各项工作</w:t>
            </w:r>
          </w:p>
        </w:tc>
      </w:tr>
      <w:tr>
        <w:tblPrEx>
          <w:tblCellMar>
            <w:top w:w="0" w:type="dxa"/>
            <w:left w:w="108" w:type="dxa"/>
            <w:bottom w:w="0" w:type="dxa"/>
            <w:right w:w="108" w:type="dxa"/>
          </w:tblCellMar>
        </w:tblPrEx>
        <w:trPr>
          <w:trHeight w:val="630"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绩效指标</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年度指标值</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实际完成值</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权重</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得分</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偏差原因分析及改进措施</w:t>
            </w:r>
          </w:p>
        </w:tc>
      </w:tr>
      <w:tr>
        <w:tblPrEx>
          <w:tblCellMar>
            <w:top w:w="0" w:type="dxa"/>
            <w:left w:w="108" w:type="dxa"/>
            <w:bottom w:w="0" w:type="dxa"/>
            <w:right w:w="108" w:type="dxa"/>
          </w:tblCellMar>
        </w:tblPrEx>
        <w:trPr>
          <w:trHeight w:val="42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产出指标(70.00分)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数量指标(30.00分)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驻场人员数量</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2人</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质量指标(20.00分)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城市（县级市）信用监测排名</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30名</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 w:val="18"/>
                <w:szCs w:val="18"/>
              </w:rPr>
            </w:pPr>
            <w:r>
              <w:rPr>
                <w:rFonts w:ascii="宋体" w:hAnsi="宋体" w:cs="宋体"/>
                <w:color w:val="000000"/>
                <w:kern w:val="0"/>
                <w:sz w:val="18"/>
              </w:rPr>
              <w:t>浙江第</w:t>
            </w:r>
            <w:r>
              <w:rPr>
                <w:rFonts w:ascii="Times New Roman" w:hAnsi="Times New Roman"/>
                <w:color w:val="000000"/>
                <w:kern w:val="0"/>
                <w:sz w:val="18"/>
              </w:rPr>
              <w:t>7</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2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56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成本指标(20.00分)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工作人员人均成本</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10万/人</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10万/人</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20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60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效益指标(20.00分)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社会效益指标(10.00分)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信用兰溪建设</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进一步推动信用兰溪建设</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推动了信用兰溪建设</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8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生态效益指标(0分)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96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可持续影响指标(10.00分)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我市诚信文化氛围</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进一步营造我市诚信文化氛围</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营造了我市诚信文化氛围</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900" w:hRule="atLeast"/>
        </w:trPr>
        <w:tc>
          <w:tcPr>
            <w:tcW w:w="56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满意度指标(10.00分)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服务对象满意度指标(10.00分)</w:t>
            </w:r>
          </w:p>
        </w:tc>
        <w:tc>
          <w:tcPr>
            <w:tcW w:w="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宋体" w:hAnsi="宋体"/>
                <w:color w:val="000000"/>
                <w:kern w:val="0"/>
                <w:sz w:val="18"/>
              </w:rPr>
              <w:t>我市对信用排名的满意度</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ascii="Times New Roman" w:hAnsi="Times New Roman"/>
                <w:color w:val="000000"/>
                <w:kern w:val="0"/>
                <w:sz w:val="18"/>
                <w:szCs w:val="18"/>
              </w:rPr>
            </w:pPr>
            <w:r>
              <w:rPr>
                <w:rFonts w:ascii="Times New Roman" w:hAnsi="Times New Roman"/>
                <w:color w:val="000000"/>
                <w:kern w:val="0"/>
                <w:sz w:val="18"/>
                <w:szCs w:val="18"/>
              </w:rPr>
              <w:t>90%</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p>
        </w:tc>
      </w:tr>
      <w:tr>
        <w:tblPrEx>
          <w:tblCellMar>
            <w:top w:w="0" w:type="dxa"/>
            <w:left w:w="108" w:type="dxa"/>
            <w:bottom w:w="0" w:type="dxa"/>
            <w:right w:w="108" w:type="dxa"/>
          </w:tblCellMar>
        </w:tblPrEx>
        <w:trPr>
          <w:trHeight w:val="402" w:hRule="atLeast"/>
        </w:trPr>
        <w:tc>
          <w:tcPr>
            <w:tcW w:w="68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总</w:t>
            </w:r>
            <w:r>
              <w:rPr>
                <w:rFonts w:ascii="Times New Roman" w:hAnsi="Times New Roman"/>
                <w:b/>
                <w:bCs/>
                <w:color w:val="000000"/>
                <w:kern w:val="0"/>
              </w:rPr>
              <w:t xml:space="preserve">  </w:t>
            </w:r>
            <w:r>
              <w:rPr>
                <w:rFonts w:ascii="宋体" w:hAnsi="宋体" w:cs="宋体"/>
                <w:b/>
                <w:bCs/>
                <w:color w:val="000000"/>
                <w:kern w:val="0"/>
              </w:rPr>
              <w:t>分</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100</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18"/>
                <w:szCs w:val="18"/>
              </w:rPr>
            </w:pPr>
          </w:p>
        </w:tc>
      </w:tr>
    </w:tbl>
    <w:p>
      <w:pPr>
        <w:spacing w:line="324" w:lineRule="auto"/>
        <w:ind w:firstLine="594"/>
        <w:rPr>
          <w:rFonts w:hint="eastAsia" w:ascii="仿宋" w:hAnsi="仿宋" w:eastAsia="仿宋"/>
          <w:color w:val="000000"/>
          <w:sz w:val="28"/>
          <w:szCs w:val="28"/>
          <w:highlight w:val="white"/>
        </w:rPr>
      </w:pPr>
    </w:p>
    <w:p>
      <w:pPr>
        <w:spacing w:line="324" w:lineRule="auto"/>
        <w:ind w:firstLine="594"/>
        <w:rPr>
          <w:rFonts w:hint="eastAsia" w:ascii="仿宋" w:hAnsi="仿宋" w:eastAsia="仿宋"/>
          <w:b/>
          <w:color w:val="000000"/>
          <w:sz w:val="28"/>
          <w:szCs w:val="28"/>
          <w:highlight w:val="white"/>
        </w:rPr>
      </w:pPr>
      <w:r>
        <w:rPr>
          <w:rFonts w:hint="eastAsia" w:ascii="仿宋" w:hAnsi="仿宋" w:eastAsia="仿宋"/>
          <w:b/>
          <w:color w:val="000000"/>
          <w:sz w:val="28"/>
          <w:szCs w:val="28"/>
          <w:highlight w:val="white"/>
        </w:rPr>
        <w:t>3.财政评价项目绩效评价结果</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无。</w:t>
      </w:r>
    </w:p>
    <w:p>
      <w:pPr>
        <w:spacing w:line="324" w:lineRule="auto"/>
        <w:ind w:firstLine="594"/>
        <w:rPr>
          <w:rFonts w:hint="eastAsia" w:ascii="仿宋" w:hAnsi="仿宋" w:eastAsia="仿宋"/>
          <w:b/>
          <w:color w:val="000000"/>
          <w:sz w:val="28"/>
          <w:szCs w:val="28"/>
          <w:highlight w:val="white"/>
          <w:u w:val="single"/>
        </w:rPr>
      </w:pPr>
      <w:r>
        <w:rPr>
          <w:rFonts w:hint="eastAsia" w:ascii="仿宋" w:hAnsi="仿宋" w:eastAsia="仿宋"/>
          <w:b/>
          <w:color w:val="000000"/>
          <w:sz w:val="28"/>
          <w:szCs w:val="28"/>
          <w:highlight w:val="white"/>
        </w:rPr>
        <w:t>4.部门评价项目绩效评价结果</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无。</w:t>
      </w:r>
    </w:p>
    <w:p>
      <w:pPr>
        <w:spacing w:line="324" w:lineRule="auto"/>
        <w:ind w:firstLine="600"/>
        <w:rPr>
          <w:b/>
          <w:color w:val="000000"/>
          <w:sz w:val="28"/>
          <w:szCs w:val="28"/>
          <w:highlight w:val="white"/>
        </w:rPr>
      </w:pPr>
      <w:r>
        <w:rPr>
          <w:rFonts w:hint="eastAsia" w:ascii="黑体" w:hAnsi="黑体" w:eastAsia="黑体"/>
          <w:b/>
          <w:color w:val="000000"/>
          <w:sz w:val="28"/>
          <w:szCs w:val="28"/>
          <w:highlight w:val="white"/>
        </w:rPr>
        <w:t>四、名词解释</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1.财政拨款收入：指本级财政部门当年拨付的财政预算资金，包括一般公共预算财政拨款、政府性基金预算财政拨款和国有资本经预算财政拨款。</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2.事业收入：指事业单位开展专业业务活动及辅助活动所取得的收入。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3.经营收入：指事业单位在专业业务活动及辅助活动之外开展非独立核算经营活动取得的收入。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4.上级补助收入：指事业单位从主管部门和上级单位取得的非财政补助收入。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5.附属单位上缴收入：指事业单位附属独立核算单位按照有关规定上缴的收入。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6.其他收入：指预算单位在“财政拨款”、“事业收入”、“经营收入”、“上级补助收入”、“附属单位上缴收入”等之外取得的各项收入。</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7.使用非财政拨款结余：指事业单位使用以前年度积累的非财政拨款结余弥补当年收支差额的金额。</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8.年初结转和结余：指预算单位以前年度尚未完成、结转到本年仍按原规定用途继续使用的资金。</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9.年末结转和结余：指单位按有关规定结转到下年或以后年度继续使用的资金。</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10.基本支出：指预算单位为保障其正常运转，完成日常工作任务所发生的支出，包括人员经费支出和日常公用经费支出。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11.项目支出：指预算单位为完成其特定的行政工作任务或事业发展目标所发生的支出。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12.上缴上级支出：填列事业单位按照财政部门和主管部门的规定上缴上级单位的支出。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13.经营支出：指事业单位在专业业务活动及其辅助活动之外开展非独立核算经营活动发生的支出。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14.附属单位补助支出：填列事业单位用财政补助收入之外的收入对附属单位补助发生的支出。</w:t>
      </w:r>
    </w:p>
    <w:p>
      <w:pPr>
        <w:spacing w:line="324" w:lineRule="auto"/>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24" w:lineRule="auto"/>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18"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xNzIxMGM5MmEwOTRiOWE3NDRjMWJmNWRhYmFlOTEifQ=="/>
  </w:docVars>
  <w:rsids>
    <w:rsidRoot w:val="001345D8"/>
    <w:rsid w:val="00030C3A"/>
    <w:rsid w:val="00053ED8"/>
    <w:rsid w:val="000B2938"/>
    <w:rsid w:val="000B45D4"/>
    <w:rsid w:val="000F7350"/>
    <w:rsid w:val="00101C07"/>
    <w:rsid w:val="001345D8"/>
    <w:rsid w:val="001527B0"/>
    <w:rsid w:val="00155B82"/>
    <w:rsid w:val="00174D0D"/>
    <w:rsid w:val="001A085A"/>
    <w:rsid w:val="001F000C"/>
    <w:rsid w:val="001F0D2A"/>
    <w:rsid w:val="00253A34"/>
    <w:rsid w:val="00290A37"/>
    <w:rsid w:val="002C0BD6"/>
    <w:rsid w:val="00397469"/>
    <w:rsid w:val="003A4E8F"/>
    <w:rsid w:val="003E35B5"/>
    <w:rsid w:val="003E6D03"/>
    <w:rsid w:val="00430D2A"/>
    <w:rsid w:val="0054000A"/>
    <w:rsid w:val="0055624B"/>
    <w:rsid w:val="005A71FE"/>
    <w:rsid w:val="005B0B68"/>
    <w:rsid w:val="005B1469"/>
    <w:rsid w:val="005D5EB4"/>
    <w:rsid w:val="006246DF"/>
    <w:rsid w:val="006421CC"/>
    <w:rsid w:val="00660F2E"/>
    <w:rsid w:val="006A23B8"/>
    <w:rsid w:val="006A7800"/>
    <w:rsid w:val="006C08F6"/>
    <w:rsid w:val="00703CA6"/>
    <w:rsid w:val="007D6FE1"/>
    <w:rsid w:val="00842845"/>
    <w:rsid w:val="00873A66"/>
    <w:rsid w:val="008A6E90"/>
    <w:rsid w:val="008B665F"/>
    <w:rsid w:val="008E52E3"/>
    <w:rsid w:val="00914E96"/>
    <w:rsid w:val="009351BD"/>
    <w:rsid w:val="00994272"/>
    <w:rsid w:val="009A11D8"/>
    <w:rsid w:val="009F53C3"/>
    <w:rsid w:val="00AA046D"/>
    <w:rsid w:val="00AF0291"/>
    <w:rsid w:val="00B176C0"/>
    <w:rsid w:val="00B64B14"/>
    <w:rsid w:val="00B750CC"/>
    <w:rsid w:val="00B75644"/>
    <w:rsid w:val="00B87FBA"/>
    <w:rsid w:val="00CB20F6"/>
    <w:rsid w:val="00CB7F9A"/>
    <w:rsid w:val="00D13BA4"/>
    <w:rsid w:val="00D14121"/>
    <w:rsid w:val="00D83F19"/>
    <w:rsid w:val="00D90A67"/>
    <w:rsid w:val="00DD143A"/>
    <w:rsid w:val="00E73D81"/>
    <w:rsid w:val="00EA26E6"/>
    <w:rsid w:val="00EB4A83"/>
    <w:rsid w:val="00EF690C"/>
    <w:rsid w:val="00F13AD6"/>
    <w:rsid w:val="00F22837"/>
    <w:rsid w:val="00FF0FE9"/>
    <w:rsid w:val="2163785E"/>
    <w:rsid w:val="239F2116"/>
    <w:rsid w:val="27B70EFD"/>
    <w:rsid w:val="4413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font101"/>
    <w:basedOn w:val="3"/>
    <w:qFormat/>
    <w:uiPriority w:val="0"/>
    <w:rPr>
      <w:rFonts w:hint="eastAsia" w:ascii="仿宋_GB2312" w:eastAsia="仿宋_GB2312"/>
      <w:color w:val="000000"/>
      <w:sz w:val="20"/>
      <w:szCs w:val="20"/>
      <w:u w:val="none"/>
    </w:rPr>
  </w:style>
  <w:style w:type="character" w:customStyle="1" w:styleId="6">
    <w:name w:val="font21"/>
    <w:basedOn w:val="3"/>
    <w:qFormat/>
    <w:uiPriority w:val="0"/>
    <w:rPr>
      <w:rFonts w:hint="default" w:ascii="Times New Roman" w:hAnsi="Times New Roman" w:cs="Times New Roman"/>
      <w:color w:val="000000"/>
      <w:sz w:val="20"/>
      <w:szCs w:val="20"/>
      <w:u w:val="none"/>
    </w:rPr>
  </w:style>
  <w:style w:type="character" w:customStyle="1" w:styleId="7">
    <w:name w:val="font41"/>
    <w:basedOn w:val="3"/>
    <w:qFormat/>
    <w:uiPriority w:val="0"/>
    <w:rPr>
      <w:rFonts w:hint="default" w:ascii="Times New Roman" w:hAnsi="Times New Roman" w:cs="Times New Roman"/>
      <w:color w:val="000000"/>
      <w:sz w:val="18"/>
      <w:szCs w:val="18"/>
      <w:u w:val="none"/>
    </w:rPr>
  </w:style>
  <w:style w:type="character" w:customStyle="1" w:styleId="8">
    <w:name w:val="font91"/>
    <w:basedOn w:val="3"/>
    <w:qFormat/>
    <w:uiPriority w:val="0"/>
    <w:rPr>
      <w:rFonts w:hint="eastAsia" w:ascii="宋体" w:hAnsi="宋体" w:eastAsia="宋体"/>
      <w:color w:val="000000"/>
      <w:sz w:val="18"/>
      <w:szCs w:val="18"/>
      <w:u w:val="none"/>
    </w:rPr>
  </w:style>
  <w:style w:type="character" w:customStyle="1" w:styleId="9">
    <w:name w:val="font31"/>
    <w:basedOn w:val="3"/>
    <w:qFormat/>
    <w:uiPriority w:val="0"/>
    <w:rPr>
      <w:rFonts w:hint="eastAsia" w:ascii="宋体" w:hAnsi="宋体" w:eastAsia="宋体"/>
      <w:color w:val="000000"/>
      <w:sz w:val="18"/>
      <w:szCs w:val="18"/>
      <w:u w:val="none"/>
    </w:rPr>
  </w:style>
  <w:style w:type="character" w:customStyle="1" w:styleId="10">
    <w:name w:val="font81"/>
    <w:basedOn w:val="3"/>
    <w:qFormat/>
    <w:uiPriority w:val="0"/>
    <w:rPr>
      <w:rFonts w:hint="eastAsia" w:ascii="宋体" w:hAnsi="宋体" w:eastAsia="宋体"/>
      <w:b/>
      <w:bCs/>
      <w:color w:val="000000"/>
      <w:sz w:val="21"/>
      <w:szCs w:val="21"/>
      <w:u w:val="none"/>
    </w:rPr>
  </w:style>
  <w:style w:type="character" w:customStyle="1" w:styleId="11">
    <w:name w:val="font111"/>
    <w:basedOn w:val="3"/>
    <w:qFormat/>
    <w:uiPriority w:val="0"/>
    <w:rPr>
      <w:rFonts w:hint="default" w:ascii="Times New Roman" w:hAnsi="Times New Roman" w:cs="Times New Roman"/>
      <w:b/>
      <w:bCs/>
      <w:color w:val="000000"/>
      <w:sz w:val="21"/>
      <w:szCs w:val="21"/>
      <w:u w:val="none"/>
    </w:rPr>
  </w:style>
  <w:style w:type="character" w:customStyle="1" w:styleId="12">
    <w:name w:val="font71"/>
    <w:basedOn w:val="3"/>
    <w:qFormat/>
    <w:uiPriority w:val="0"/>
    <w:rPr>
      <w:rFonts w:hint="eastAsia" w:ascii="宋体" w:hAnsi="宋体" w:eastAsia="宋体"/>
      <w:color w:val="000000"/>
      <w:sz w:val="18"/>
      <w:szCs w:val="18"/>
      <w:u w:val="none"/>
    </w:rPr>
  </w:style>
  <w:style w:type="character" w:customStyle="1" w:styleId="13">
    <w:name w:val="font11"/>
    <w:basedOn w:val="3"/>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1432</Words>
  <Characters>8165</Characters>
  <Lines>68</Lines>
  <Paragraphs>19</Paragraphs>
  <TotalTime>321</TotalTime>
  <ScaleCrop>false</ScaleCrop>
  <LinksUpToDate>false</LinksUpToDate>
  <CharactersWithSpaces>9578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2022-09-30T04:05:00Z</dcterms:created>
  <dc:creator>郭驾晨</dc:creator>
  <cp:lastModifiedBy>嘉辰</cp:lastModifiedBy>
  <dcterms:modified xsi:type="dcterms:W3CDTF">2022-09-30T10:08:56Z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23B83A3FE39D43F69E9F958D80FDC8F6</vt:lpwstr>
  </property>
</Properties>
</file>