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val="en-US"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val="en-US" w:eastAsia="zh-CN"/>
        </w:rPr>
        <w:t>兰溪市残疾人劳动就业服务所2022年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兰溪市残疾人劳动就业服务所</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val="en-US" w:eastAsia="zh-CN"/>
        </w:rPr>
        <w:t>兰溪市残疾人劳动就业服务所2022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兰溪市残疾人劳动就业服务所</w:t>
      </w:r>
      <w:r>
        <w:rPr>
          <w:rStyle w:val="6"/>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（一）2022年兰溪市残疾人劳动就业服务所收支预算总表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（二）2022年兰溪市残疾人劳动就业服务所收入预算总表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（三）2022年兰溪市残疾人劳动就业服务所支出预算总表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（四）2022年兰溪市残疾人劳动就业服务所财政拨款收支预算总表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（五）2022年兰溪市残疾人劳动就业服务所一般公共预算支出表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（六）2022年兰溪市残疾人劳动就业服务所一般公共预算基本支出表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（七）2022年兰溪市残疾人劳动就业服务所一般公共预算“三公”经费支出表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（八）2022年兰溪市残疾人劳动就业服务所政府性基金预算支出表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（九）2022年兰溪市残疾人劳动就业服务所国有资本经营预算支出表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（十）2022年兰溪市残疾人劳动就业服务所项目支出预算表</w:t>
      </w: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val="en-US" w:eastAsia="zh-CN"/>
        </w:rPr>
        <w:t>兰溪市残疾人劳动就业服务所</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兰溪市残疾人劳动就业服务所主要职能如下：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1.宣传贯彻《中华人民共和国残疾人保障法》，维护残疾人在政治、经济、文化、社会等方面平等的公民权利，密切联系残疾人、听取残疾人意见、反映残疾人需求、全心全意为残疾人服务。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2.团结、激励残疾人自尊、自信、自强、自立，履行法定义务，为构建和谐社会贡献力量。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3.沟通政府、社会与残疾人之间的联系，宣传残疾人事业，动员社会理解、尊重、关心、帮助残疾人，消除歧视、偏见和障碍。</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4.协助政府制定实施残疾人事业发展纲要，促进残疾人康复、教育、劳动就业、扶贫、文化体育、社会保障、科技信息化应用和残疾预防等工作，改善残疾人参与社会生活的环境和条件。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5.参与研究、制定和实施残疾人事业的法律法规、政策规划，发挥综合协调、咨询服务作用，对有关领域的工作进行管理和指导。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6.承担政府残疾人工作委员会的日常工作。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7.管理和发放《中华人民共和国残疾人证》。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8.管理和指导各类残疾人社会组织，培养残疾人工作者，使残疾人和残疾人组织更加活跃。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rPr>
          <w:rFonts w:hint="eastAsia" w:ascii="仿宋_GB2312" w:hAnsi="仿宋_GB2312" w:eastAsia="仿宋_GB2312" w:cs="仿宋_GB2312"/>
          <w:b w:val="0"/>
          <w:bCs/>
          <w:sz w:val="32"/>
          <w:szCs w:val="32"/>
          <w:highlight w:val="none"/>
        </w:rPr>
      </w:pPr>
      <w:r>
        <w:rPr>
          <w:rFonts w:hint="default" w:ascii="华文仿宋" w:hAnsi="华文仿宋" w:eastAsia="华文仿宋" w:cs="华文仿宋"/>
          <w:b w:val="0"/>
          <w:color w:val="000000"/>
          <w:kern w:val="0"/>
          <w:sz w:val="32"/>
          <w:szCs w:val="32"/>
          <w:lang w:val="en-US" w:eastAsia="zh-CN" w:bidi="ar"/>
        </w:rPr>
        <w:t>9.开展国际交流与合作。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0"/>
          <w:szCs w:val="30"/>
          <w:lang w:val="en-US"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sz w:val="32"/>
          <w:szCs w:val="32"/>
          <w:highlight w:val="none"/>
        </w:rPr>
        <w:t>属</w:t>
      </w:r>
      <w:r>
        <w:rPr>
          <w:rFonts w:hint="eastAsia" w:ascii="仿宋_GB2312" w:eastAsia="仿宋_GB2312"/>
          <w:sz w:val="30"/>
          <w:szCs w:val="30"/>
          <w:lang w:val="en-US" w:eastAsia="zh-CN"/>
        </w:rPr>
        <w:t>二级单位预算。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Style w:val="6"/>
          <w:rFonts w:hint="eastAsia" w:ascii="楷体_GB2312" w:hAnsi="楷体_GB2312" w:eastAsia="楷体_GB2312" w:cs="楷体_GB2312"/>
          <w:b/>
          <w:bCs w:val="0"/>
          <w:color w:val="000000"/>
          <w:sz w:val="32"/>
          <w:szCs w:val="32"/>
          <w:highlight w:val="none"/>
          <w:lang w:eastAsia="zh-CN"/>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lang w:eastAsia="zh-CN"/>
        </w:rPr>
        <w:t>年单位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按照</w:t>
      </w:r>
      <w:r>
        <w:rPr>
          <w:rFonts w:hint="eastAsia" w:ascii="仿宋_GB2312" w:hAnsi="仿宋_GB2312" w:eastAsia="仿宋_GB2312" w:cs="仿宋_GB2312"/>
          <w:b w:val="0"/>
          <w:bCs/>
          <w:sz w:val="32"/>
          <w:szCs w:val="32"/>
          <w:highlight w:val="none"/>
          <w:lang w:val="en-US" w:eastAsia="zh-CN"/>
        </w:rPr>
        <w:t>综合预算的原则，</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所有收入和支出均纳入部门预算管理。收入包括：一般公共预算拨款收入；支出按功能科目分包括：</w:t>
      </w:r>
      <w:r>
        <w:rPr>
          <w:rFonts w:hint="eastAsia" w:ascii="仿宋_GB2312" w:hAnsi="仿宋_GB2312" w:eastAsia="仿宋_GB2312" w:cs="仿宋_GB2312"/>
          <w:b w:val="0"/>
          <w:bCs/>
          <w:color w:val="000000"/>
          <w:sz w:val="32"/>
          <w:szCs w:val="32"/>
          <w:highlight w:val="none"/>
          <w:lang w:val="en-US" w:eastAsia="zh-CN"/>
        </w:rPr>
        <w:t>208</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210</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2022年收支总预算163.37万元。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163.37</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163.37</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2.55万元，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长1.59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163.37</w:t>
      </w:r>
      <w:r>
        <w:rPr>
          <w:rFonts w:hint="eastAsia" w:ascii="仿宋_GB2312" w:hAnsi="仿宋_GB2312" w:eastAsia="仿宋_GB2312" w:cs="仿宋_GB2312"/>
          <w:b w:val="0"/>
          <w:bCs/>
          <w:color w:val="000000"/>
          <w:sz w:val="32"/>
          <w:szCs w:val="32"/>
          <w:highlight w:val="none"/>
        </w:rPr>
        <w:t>万元。</w:t>
      </w:r>
    </w:p>
    <w:p>
      <w:pPr>
        <w:numPr>
          <w:ilvl w:val="0"/>
          <w:numId w:val="1"/>
        </w:numPr>
        <w:overflowPunct/>
        <w:autoSpaceDE/>
        <w:autoSpaceDN/>
        <w:adjustRightInd/>
        <w:spacing w:line="560" w:lineRule="exact"/>
        <w:ind w:firstLine="630"/>
        <w:textAlignment w:val="auto"/>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Cs/>
          <w:color w:val="000000"/>
          <w:sz w:val="32"/>
          <w:szCs w:val="32"/>
        </w:rPr>
        <w:t>按支出功能分类，包括社会保障和就业支出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b w:val="0"/>
          <w:bCs/>
          <w:color w:val="000000"/>
          <w:sz w:val="32"/>
          <w:szCs w:val="32"/>
          <w:highlight w:val="none"/>
          <w:lang w:val="en-US" w:eastAsia="zh-CN"/>
        </w:rPr>
        <w:t>8.00</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3.27万元，占2%</w:t>
      </w:r>
      <w:r>
        <w:rPr>
          <w:rFonts w:hint="eastAsia" w:ascii="仿宋_GB2312" w:hAnsi="仿宋_GB2312" w:eastAsia="仿宋_GB2312" w:cs="仿宋_GB2312"/>
          <w:b w:val="0"/>
          <w:bCs/>
          <w:color w:val="000000"/>
          <w:sz w:val="32"/>
          <w:szCs w:val="32"/>
          <w:highlight w:val="none"/>
          <w:lang w:eastAsia="zh-CN"/>
        </w:rPr>
        <w:t>。</w:t>
      </w:r>
    </w:p>
    <w:p>
      <w:pPr>
        <w:numPr>
          <w:numId w:val="0"/>
        </w:numPr>
        <w:overflowPunct/>
        <w:autoSpaceDE/>
        <w:autoSpaceDN/>
        <w:adjustRightInd/>
        <w:spacing w:line="560" w:lineRule="exact"/>
        <w:ind w:firstLine="640" w:firstLineChars="200"/>
        <w:textAlignment w:val="auto"/>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按支出用途分类，包括人员支出</w:t>
      </w:r>
      <w:r>
        <w:rPr>
          <w:rFonts w:hint="eastAsia" w:ascii="仿宋_GB2312" w:hAnsi="仿宋_GB2312" w:eastAsia="仿宋_GB2312" w:cs="仿宋_GB2312"/>
          <w:b w:val="0"/>
          <w:bCs/>
          <w:color w:val="000000"/>
          <w:sz w:val="32"/>
          <w:szCs w:val="32"/>
          <w:highlight w:val="none"/>
          <w:lang w:val="en-US" w:eastAsia="zh-CN"/>
        </w:rPr>
        <w:t>133.38</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81.64</w:t>
      </w:r>
      <w:r>
        <w:rPr>
          <w:rFonts w:hint="eastAsia" w:ascii="仿宋_GB2312" w:hAnsi="仿宋_GB2312" w:eastAsia="仿宋_GB2312" w:cs="仿宋_GB2312"/>
          <w:b w:val="0"/>
          <w:bCs/>
          <w:color w:val="000000"/>
          <w:sz w:val="32"/>
          <w:szCs w:val="32"/>
          <w:highlight w:val="none"/>
          <w:lang w:eastAsia="zh-CN"/>
        </w:rPr>
        <w:t>%；日常公</w:t>
      </w:r>
      <w:r>
        <w:rPr>
          <w:rFonts w:hint="eastAsia" w:ascii="仿宋_GB2312" w:hAnsi="仿宋_GB2312" w:eastAsia="仿宋_GB2312" w:cs="仿宋_GB2312"/>
          <w:bCs/>
          <w:color w:val="000000"/>
          <w:sz w:val="32"/>
          <w:szCs w:val="32"/>
        </w:rPr>
        <w:t>用支出</w:t>
      </w:r>
      <w:r>
        <w:rPr>
          <w:rFonts w:hint="eastAsia" w:ascii="仿宋_GB2312" w:hAnsi="仿宋_GB2312" w:eastAsia="仿宋_GB2312" w:cs="仿宋_GB2312"/>
          <w:bCs/>
          <w:color w:val="000000"/>
          <w:sz w:val="32"/>
          <w:szCs w:val="32"/>
          <w:lang w:val="en-US" w:eastAsia="zh-CN"/>
        </w:rPr>
        <w:t>9.09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5.56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20.9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12.80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2022年财政拨款收支总预算163.37万元。包括：一般公共预算拨款收入163.37万元；支出包括：</w:t>
      </w:r>
      <w:r>
        <w:rPr>
          <w:rFonts w:hint="eastAsia" w:ascii="仿宋_GB2312" w:hAnsi="仿宋_GB2312" w:eastAsia="仿宋_GB2312" w:cs="仿宋_GB2312"/>
          <w:bCs/>
          <w:color w:val="000000"/>
          <w:sz w:val="32"/>
          <w:szCs w:val="32"/>
        </w:rPr>
        <w:t>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3.27万元。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2022年一般公共预算当年拨款163.37万元，比上年执行数增加2.55万元，主要是人员经费增加。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社会保障和就业支出</w:t>
      </w:r>
      <w:r>
        <w:rPr>
          <w:rFonts w:hint="eastAsia" w:ascii="仿宋_GB2312" w:hAnsi="仿宋_GB2312" w:eastAsia="仿宋_GB2312" w:cs="仿宋_GB2312"/>
          <w:bCs/>
          <w:color w:val="000000"/>
          <w:sz w:val="32"/>
          <w:szCs w:val="32"/>
          <w:lang w:val="en-US" w:eastAsia="zh-CN"/>
        </w:rPr>
        <w:t>160.10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98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3.27万元，占2%</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（1）</w:t>
      </w:r>
      <w:r>
        <w:rPr>
          <w:rFonts w:hint="eastAsia" w:ascii="仿宋_GB2312" w:hAnsi="仿宋_GB2312" w:eastAsia="仿宋_GB2312" w:cs="仿宋_GB2312"/>
          <w:b w:val="0"/>
          <w:bCs/>
          <w:color w:val="000000"/>
          <w:sz w:val="32"/>
          <w:szCs w:val="32"/>
          <w:highlight w:val="none"/>
          <w:lang w:val="en-US" w:eastAsia="zh-CN"/>
        </w:rPr>
        <w:t>2081101</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（款）行政运行（项）事务</w:t>
      </w:r>
      <w:r>
        <w:rPr>
          <w:rFonts w:hint="eastAsia" w:ascii="仿宋_GB2312" w:hAnsi="仿宋_GB2312" w:eastAsia="仿宋_GB2312" w:cs="仿宋_GB2312"/>
          <w:b w:val="0"/>
          <w:bCs/>
          <w:color w:val="000000"/>
          <w:sz w:val="32"/>
          <w:szCs w:val="32"/>
          <w:highlight w:val="none"/>
          <w:lang w:val="en-US" w:eastAsia="zh-CN"/>
        </w:rPr>
        <w:t>137.31</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为保障单位正常运转、完成日常工作任务所发生的支出，包括人员支出和日常公用支出</w:t>
      </w:r>
      <w:r>
        <w:rPr>
          <w:rFonts w:hint="eastAsia" w:ascii="仿宋_GB2312" w:hAnsi="仿宋_GB2312" w:eastAsia="仿宋_GB2312" w:cs="仿宋_GB2312"/>
          <w:b w:val="0"/>
          <w:bCs/>
          <w:color w:val="000000"/>
          <w:sz w:val="32"/>
          <w:szCs w:val="32"/>
          <w:highlight w:val="none"/>
          <w:lang w:val="en-US" w:eastAsia="zh-CN"/>
        </w:rPr>
        <w:t>等</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default" w:ascii="仿宋_GB2312" w:hAnsi="仿宋_GB2312" w:eastAsia="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2</w:t>
      </w:r>
      <w:r>
        <w:rPr>
          <w:rFonts w:hint="default" w:ascii="仿宋_GB2312" w:hAnsi="仿宋_GB2312" w:eastAsia="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2081199</w:t>
      </w:r>
      <w:r>
        <w:rPr>
          <w:rFonts w:hint="default" w:ascii="仿宋_GB2312" w:hAnsi="仿宋_GB2312" w:eastAsia="仿宋_GB2312" w:cs="仿宋_GB2312"/>
          <w:b w:val="0"/>
          <w:bCs/>
          <w:color w:val="000000"/>
          <w:sz w:val="32"/>
          <w:szCs w:val="32"/>
          <w:highlight w:val="none"/>
          <w:lang w:val="en-US" w:eastAsia="zh-CN"/>
        </w:rPr>
        <w:t>社会保障和就业支出（类）残疾人事业（款）其他残疾人事业支出（项）事务</w:t>
      </w:r>
      <w:r>
        <w:rPr>
          <w:rFonts w:hint="eastAsia" w:ascii="仿宋_GB2312" w:hAnsi="仿宋_GB2312" w:eastAsia="仿宋_GB2312" w:cs="仿宋_GB2312"/>
          <w:b w:val="0"/>
          <w:bCs/>
          <w:color w:val="000000"/>
          <w:sz w:val="32"/>
          <w:szCs w:val="32"/>
          <w:highlight w:val="none"/>
          <w:lang w:val="en-US" w:eastAsia="zh-CN"/>
        </w:rPr>
        <w:t>22.79</w:t>
      </w:r>
      <w:r>
        <w:rPr>
          <w:rFonts w:hint="default" w:ascii="仿宋_GB2312" w:hAnsi="仿宋_GB2312" w:eastAsia="仿宋_GB2312" w:cs="仿宋_GB2312"/>
          <w:b w:val="0"/>
          <w:bCs/>
          <w:color w:val="000000"/>
          <w:sz w:val="32"/>
          <w:szCs w:val="32"/>
          <w:highlight w:val="none"/>
          <w:lang w:val="en-US" w:eastAsia="zh-CN"/>
        </w:rPr>
        <w:t>万元，主要用于为保障单位正常运转、完成日常工作任务所发生的支出，包括人员支出和日常公用支出</w:t>
      </w:r>
      <w:r>
        <w:rPr>
          <w:rFonts w:hint="eastAsia" w:ascii="仿宋_GB2312" w:hAnsi="仿宋_GB2312" w:eastAsia="仿宋_GB2312" w:cs="仿宋_GB2312"/>
          <w:b w:val="0"/>
          <w:bCs/>
          <w:color w:val="000000"/>
          <w:sz w:val="32"/>
          <w:szCs w:val="32"/>
          <w:highlight w:val="none"/>
          <w:lang w:val="en-US" w:eastAsia="zh-CN"/>
        </w:rPr>
        <w:t>等</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（3）2101102卫生健康支出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事业单位医疗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3.27</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行政事业单位人员医疗费缴纳</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142.47万元，其中：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w:t>
      </w:r>
      <w:r>
        <w:rPr>
          <w:rFonts w:hint="eastAsia" w:ascii="仿宋_GB2312" w:hAnsi="仿宋_GB2312" w:eastAsia="仿宋_GB2312" w:cs="仿宋_GB2312"/>
          <w:bCs/>
          <w:color w:val="000000"/>
          <w:sz w:val="32"/>
          <w:szCs w:val="32"/>
          <w:lang w:val="en-US" w:eastAsia="zh-CN"/>
        </w:rPr>
        <w:t>133.38</w:t>
      </w:r>
      <w:r>
        <w:rPr>
          <w:rFonts w:hint="eastAsia" w:ascii="仿宋_GB2312" w:hAnsi="仿宋_GB2312" w:eastAsia="仿宋_GB2312" w:cs="仿宋_GB2312"/>
          <w:b w:val="0"/>
          <w:bCs/>
          <w:color w:val="000000"/>
          <w:sz w:val="32"/>
          <w:szCs w:val="32"/>
          <w:highlight w:val="none"/>
          <w:lang w:val="en-US" w:eastAsia="zh-CN"/>
        </w:rPr>
        <w:t>万元，主要包括：基本工资、津贴补贴、奖金、伙食补助费、绩效工资、机关事业单位基本养老保险缴费、职业年金缴费、职工基本医疗保险缴费、其他社会保障缴费、住房公积金、其他工资福利支出等；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公用经费7.2万元，主要包括：工会经费、福利费、其他商品和服务支出;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公务用车运行维护费1.89万元。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w:t>
      </w:r>
      <w:r>
        <w:rPr>
          <w:rStyle w:val="6"/>
          <w:rFonts w:hint="eastAsia" w:ascii="楷体_GB2312" w:hAnsi="楷体_GB2312" w:eastAsia="楷体_GB2312" w:cs="楷体_GB2312"/>
          <w:b/>
          <w:bCs w:val="0"/>
          <w:color w:val="000000"/>
          <w:sz w:val="32"/>
          <w:szCs w:val="32"/>
          <w:highlight w:val="none"/>
          <w:lang w:val="en-US" w:eastAsia="zh-CN"/>
        </w:rPr>
        <w:t>八）关于兰溪市残疾人劳动就业服务所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00" w:firstLineChars="200"/>
        <w:textAlignment w:val="auto"/>
        <w:outlineLvl w:val="9"/>
        <w:rPr>
          <w:rFonts w:hint="eastAsia"/>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Style w:val="6"/>
          <w:rFonts w:hint="eastAsia" w:ascii="楷体_GB2312" w:hAnsi="楷体_GB2312" w:eastAsia="楷体_GB2312" w:cs="楷体_GB2312"/>
          <w:b/>
          <w:bCs w:val="0"/>
          <w:color w:val="000000"/>
          <w:sz w:val="32"/>
          <w:szCs w:val="32"/>
          <w:highlight w:val="none"/>
          <w:lang w:val="en-US" w:eastAsia="zh-CN"/>
        </w:rPr>
        <w:t>兰溪市残疾人劳动就业服务所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w:t>
      </w:r>
      <w:r>
        <w:rPr>
          <w:rFonts w:hint="eastAsia" w:ascii="仿宋_GB2312" w:hAnsi="仿宋_GB2312" w:eastAsia="仿宋_GB2312" w:cs="仿宋_GB2312"/>
          <w:b w:val="0"/>
          <w:bCs/>
          <w:color w:val="000000"/>
          <w:kern w:val="2"/>
          <w:sz w:val="32"/>
          <w:szCs w:val="32"/>
          <w:highlight w:val="none"/>
          <w:lang w:eastAsia="zh-CN"/>
        </w:rPr>
        <w:t>一致</w:t>
      </w:r>
      <w:r>
        <w:rPr>
          <w:rFonts w:hint="eastAsia" w:ascii="仿宋_GB2312" w:hAnsi="仿宋_GB2312" w:eastAsia="仿宋_GB2312" w:cs="仿宋_GB2312"/>
          <w:b w:val="0"/>
          <w:bCs/>
          <w:color w:val="000000"/>
          <w:kern w:val="2"/>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color w:val="000000"/>
          <w:kern w:val="0"/>
          <w:sz w:val="32"/>
          <w:szCs w:val="32"/>
          <w:highlight w:val="none"/>
          <w:lang w:val="en-US" w:eastAsia="zh-CN" w:bidi="ar-SA"/>
        </w:rPr>
        <w:t>未安排因公出国（境）费用预算，</w:t>
      </w:r>
      <w:r>
        <w:rPr>
          <w:rFonts w:hint="default" w:ascii="仿宋_GB2312" w:hAnsi="仿宋_GB2312" w:eastAsia="仿宋_GB2312" w:cs="仿宋_GB2312"/>
          <w:b w:val="0"/>
          <w:bCs/>
          <w:color w:val="000000"/>
          <w:kern w:val="0"/>
          <w:sz w:val="32"/>
          <w:szCs w:val="32"/>
          <w:highlight w:val="none"/>
          <w:lang w:val="en-US" w:eastAsia="zh-CN" w:bidi="ar-SA"/>
        </w:rPr>
        <w:t>上年度也未发生因公出国（境）支出，与上年度增减无变化</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sz w:val="32"/>
          <w:szCs w:val="32"/>
          <w:highlight w:val="none"/>
          <w:lang w:eastAsia="zh-CN"/>
        </w:rPr>
        <w:t>未</w:t>
      </w:r>
      <w:r>
        <w:rPr>
          <w:rFonts w:hint="eastAsia" w:ascii="仿宋_GB2312" w:hAnsi="仿宋_GB2312" w:eastAsia="仿宋_GB2312" w:cs="仿宋_GB2312"/>
          <w:b w:val="0"/>
          <w:bCs/>
          <w:sz w:val="32"/>
          <w:szCs w:val="32"/>
          <w:highlight w:val="none"/>
        </w:rPr>
        <w:t>安排公务接待费预算，</w:t>
      </w:r>
      <w:r>
        <w:rPr>
          <w:rFonts w:hint="default" w:ascii="仿宋_GB2312" w:hAnsi="仿宋_GB2312" w:eastAsia="仿宋_GB2312" w:cs="仿宋_GB2312"/>
          <w:b w:val="0"/>
          <w:bCs/>
          <w:color w:val="000000"/>
          <w:kern w:val="0"/>
          <w:sz w:val="32"/>
          <w:szCs w:val="32"/>
          <w:highlight w:val="none"/>
          <w:lang w:val="en-US" w:eastAsia="zh-CN" w:bidi="ar-SA"/>
        </w:rPr>
        <w:t>上年度也未发生</w:t>
      </w:r>
      <w:r>
        <w:rPr>
          <w:rFonts w:hint="eastAsia" w:ascii="仿宋_GB2312" w:hAnsi="仿宋_GB2312" w:eastAsia="仿宋_GB2312" w:cs="仿宋_GB2312"/>
          <w:b w:val="0"/>
          <w:bCs/>
          <w:sz w:val="32"/>
          <w:szCs w:val="32"/>
          <w:highlight w:val="none"/>
        </w:rPr>
        <w:t>公务接待费</w:t>
      </w:r>
      <w:r>
        <w:rPr>
          <w:rFonts w:hint="eastAsia" w:ascii="仿宋_GB2312" w:hAnsi="仿宋_GB2312" w:eastAsia="仿宋_GB2312" w:cs="仿宋_GB2312"/>
          <w:b w:val="0"/>
          <w:bCs/>
          <w:sz w:val="32"/>
          <w:szCs w:val="32"/>
          <w:highlight w:val="none"/>
          <w:lang w:eastAsia="zh-CN"/>
        </w:rPr>
        <w:t>支出，与上年度增减无变化</w:t>
      </w:r>
      <w:r>
        <w:rPr>
          <w:rFonts w:hint="eastAsia" w:ascii="仿宋_GB2312" w:hAnsi="仿宋_GB2312" w:eastAsia="仿宋_GB2312" w:cs="仿宋_GB2312"/>
          <w:b w:val="0"/>
          <w:bCs/>
          <w:sz w:val="32"/>
          <w:szCs w:val="32"/>
          <w:highlight w:val="none"/>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与上年度增减无变化</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主要用于单位运行</w:t>
      </w:r>
      <w:r>
        <w:rPr>
          <w:rFonts w:hint="eastAsia" w:ascii="仿宋_GB2312" w:hAnsi="仿宋_GB2312" w:eastAsia="仿宋_GB2312" w:cs="仿宋_GB2312"/>
          <w:b w:val="0"/>
          <w:bCs/>
          <w:sz w:val="32"/>
          <w:szCs w:val="32"/>
          <w:highlight w:val="none"/>
        </w:rPr>
        <w:t>等所需的公务用车燃料费、维修费、过桥过路费、保险费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无机要通信和应急公务用车经费，与上年度增减无变化。</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sz w:val="30"/>
          <w:szCs w:val="30"/>
          <w:lang w:val="en-US" w:eastAsia="zh-CN"/>
        </w:rPr>
        <w:t>兰溪市残疾人劳动就业服务所无</w:t>
      </w:r>
      <w:r>
        <w:rPr>
          <w:rFonts w:hint="eastAsia" w:ascii="仿宋_GB2312" w:eastAsia="仿宋_GB2312"/>
          <w:color w:val="000000"/>
          <w:sz w:val="32"/>
          <w:szCs w:val="32"/>
          <w:highlight w:val="none"/>
          <w:lang w:eastAsia="zh-CN"/>
        </w:rPr>
        <w:t>政府采购</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截至2021年12月31日，</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共有车辆</w:t>
      </w:r>
      <w:r>
        <w:rPr>
          <w:rFonts w:hint="eastAsia" w:ascii="仿宋_GB2312" w:hAnsi="仿宋_GB2312" w:eastAsia="仿宋_GB2312" w:cs="仿宋_GB2312"/>
          <w:b w:val="0"/>
          <w:bCs/>
          <w:color w:val="000000"/>
          <w:sz w:val="32"/>
          <w:szCs w:val="32"/>
          <w:highlight w:val="none"/>
          <w:lang w:val="en-US" w:eastAsia="zh-CN"/>
        </w:rPr>
        <w:t>1辆，其中，其他用车1辆。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2022年部门预算未安排购置车辆。2021年部门预算未安排购置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3.绩效目标设置情况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eastAsia="仿宋_GB2312"/>
          <w:sz w:val="30"/>
          <w:szCs w:val="30"/>
          <w:lang w:val="en-US" w:eastAsia="zh-CN"/>
        </w:rPr>
        <w:t>兰溪市残疾人劳动就业服务所</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20.9万元。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13.2081101社会保障和就业支出（类）残疾人事业（款）行政运行（项）：指反映行政单位（包括实行公务员管理的事业单位）的基本支出。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14.2081199社会保障和就业支出（类）残疾人事业（款）其他残疾人事业支出（项）：反映除上述项目以外其他用于残疾人事业方面的支出。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15.2101102卫生健康支出（类）行政事业单位医疗（款）事业单位医疗（项）：反映财政部门安排的事业单位基本医疗保险缴费经费，未参加医疗保险的事业单位的公费医疗经费，按国家规定享受离休人员待遇</w:t>
      </w:r>
      <w:bookmarkStart w:id="0" w:name="_GoBack"/>
      <w:bookmarkEnd w:id="0"/>
      <w:r>
        <w:rPr>
          <w:rFonts w:hint="eastAsia" w:ascii="仿宋_GB2312" w:hAnsi="仿宋_GB2312" w:eastAsia="仿宋_GB2312" w:cs="仿宋_GB2312"/>
          <w:color w:val="auto"/>
          <w:sz w:val="32"/>
          <w:szCs w:val="32"/>
          <w:highlight w:val="none"/>
          <w:lang w:val="en-US" w:eastAsia="zh-CN"/>
        </w:rPr>
        <w:t>的医疗经费。</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jJmMGE1ZDFjNjYxYWYzMGJlYTIyY2EwMmJjZmEifQ=="/>
  </w:docVars>
  <w:rsids>
    <w:rsidRoot w:val="092A2287"/>
    <w:rsid w:val="01426874"/>
    <w:rsid w:val="03C10722"/>
    <w:rsid w:val="05E256B5"/>
    <w:rsid w:val="092A2287"/>
    <w:rsid w:val="157409DE"/>
    <w:rsid w:val="1D1A4628"/>
    <w:rsid w:val="27B7226D"/>
    <w:rsid w:val="7164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2023-08-04T11:52:42Z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D45E88B2CA3D4D09A6DEE7C627298174_12</vt:lpwstr>
  </property>
</Properties>
</file>