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4" w:lineRule="auto"/>
        <w:jc w:val="left"/>
        <w:rPr>
          <w:rFonts w:ascii="黑体" w:hAnsi="黑体" w:eastAsia="黑体"/>
          <w:b/>
          <w:bCs/>
          <w:spacing w:val="15"/>
          <w:sz w:val="28"/>
          <w:szCs w:val="28"/>
          <w:highlight w:val="white"/>
        </w:rPr>
      </w:pPr>
      <w:r>
        <w:rPr>
          <w:rFonts w:hint="eastAsia" w:ascii="黑体" w:hAnsi="黑体" w:eastAsia="黑体"/>
          <w:b/>
          <w:bCs/>
          <w:spacing w:val="15"/>
          <w:sz w:val="28"/>
          <w:szCs w:val="28"/>
          <w:highlight w:val="white"/>
        </w:rPr>
        <w:t>附件1</w:t>
      </w:r>
    </w:p>
    <w:p>
      <w:pPr>
        <w:spacing w:line="324" w:lineRule="auto"/>
        <w:jc w:val="center"/>
        <w:rPr>
          <w:rFonts w:hint="eastAsia" w:ascii="黑体" w:hAnsi="黑体" w:eastAsia="黑体"/>
          <w:b/>
          <w:bCs/>
          <w:color w:val="000000"/>
          <w:sz w:val="36"/>
          <w:szCs w:val="36"/>
          <w:highlight w:val="white"/>
        </w:rPr>
      </w:pPr>
      <w:r>
        <w:rPr>
          <w:rFonts w:hint="eastAsia" w:ascii="黑体" w:hAnsi="黑体" w:eastAsia="黑体"/>
          <w:b/>
          <w:bCs/>
          <w:color w:val="000000"/>
          <w:sz w:val="36"/>
          <w:szCs w:val="36"/>
          <w:highlight w:val="white"/>
        </w:rPr>
        <w:t>兰溪市产品商品质量检测研究院</w:t>
      </w:r>
    </w:p>
    <w:p>
      <w:pPr>
        <w:spacing w:line="360" w:lineRule="auto"/>
        <w:jc w:val="center"/>
        <w:rPr>
          <w:rFonts w:hint="eastAsia" w:ascii="黑体" w:hAnsi="黑体" w:eastAsia="黑体"/>
          <w:b/>
          <w:bCs/>
          <w:color w:val="000000"/>
          <w:sz w:val="36"/>
          <w:szCs w:val="36"/>
          <w:highlight w:val="white"/>
        </w:rPr>
      </w:pPr>
      <w:r>
        <w:rPr>
          <w:rFonts w:hint="eastAsia" w:ascii="黑体" w:hAnsi="黑体" w:eastAsia="黑体"/>
          <w:b/>
          <w:bCs/>
          <w:color w:val="000000"/>
          <w:sz w:val="36"/>
          <w:szCs w:val="36"/>
          <w:highlight w:val="white"/>
        </w:rPr>
        <w:t>2021年度单位决算目录</w:t>
      </w:r>
    </w:p>
    <w:p>
      <w:pPr>
        <w:spacing w:line="360" w:lineRule="auto"/>
        <w:jc w:val="left"/>
        <w:rPr>
          <w:rFonts w:hint="eastAsia" w:ascii="等线" w:hAnsi="等线"/>
          <w:sz w:val="28"/>
          <w:szCs w:val="28"/>
        </w:rPr>
      </w:pPr>
      <w:r>
        <w:rPr>
          <w:rFonts w:ascii="等线" w:hAnsi="等线"/>
          <w:color w:val="000000"/>
          <w:sz w:val="28"/>
          <w:szCs w:val="28"/>
          <w:highlight w:val="white"/>
        </w:rPr>
        <w:t>一、概况............................................</w:t>
      </w:r>
      <w:r>
        <w:rPr>
          <w:rFonts w:hint="eastAsia" w:ascii="等线" w:hAnsi="等线"/>
          <w:color w:val="000000"/>
          <w:sz w:val="28"/>
          <w:szCs w:val="28"/>
          <w:highlight w:val="white"/>
        </w:rPr>
        <w:t>................................................</w:t>
      </w:r>
      <w:r>
        <w:rPr>
          <w:rFonts w:ascii="等线" w:hAnsi="等线"/>
          <w:color w:val="000000"/>
          <w:sz w:val="28"/>
          <w:szCs w:val="28"/>
          <w:highlight w:val="white"/>
        </w:rPr>
        <w:t>......</w:t>
      </w:r>
      <w:r>
        <w:rPr>
          <w:rFonts w:ascii="等线" w:hAnsi="等线"/>
          <w:sz w:val="28"/>
          <w:szCs w:val="28"/>
        </w:rPr>
        <w:t xml:space="preserve">( </w:t>
      </w:r>
      <w:r>
        <w:rPr>
          <w:rFonts w:hint="eastAsia" w:ascii="等线" w:hAnsi="等线"/>
          <w:sz w:val="28"/>
          <w:szCs w:val="28"/>
          <w:lang w:val="en-US" w:eastAsia="zh-CN"/>
        </w:rPr>
        <w:t>2</w:t>
      </w:r>
      <w:r>
        <w:rPr>
          <w:rFonts w:ascii="等线" w:hAnsi="等线"/>
          <w:sz w:val="28"/>
          <w:szCs w:val="28"/>
        </w:rPr>
        <w:t xml:space="preserve"> )</w:t>
      </w:r>
    </w:p>
    <w:p>
      <w:pPr>
        <w:spacing w:line="360" w:lineRule="auto"/>
        <w:ind w:left="420"/>
        <w:jc w:val="left"/>
        <w:rPr>
          <w:rFonts w:ascii="等线" w:hAnsi="等线"/>
          <w:sz w:val="28"/>
          <w:szCs w:val="28"/>
        </w:rPr>
      </w:pPr>
      <w:r>
        <w:rPr>
          <w:rFonts w:ascii="等线" w:hAnsi="等线"/>
          <w:color w:val="000000"/>
          <w:sz w:val="28"/>
          <w:szCs w:val="28"/>
          <w:highlight w:val="white"/>
        </w:rPr>
        <w:t>（一）单位职责................................</w:t>
      </w:r>
      <w:r>
        <w:rPr>
          <w:rFonts w:hint="eastAsia" w:ascii="等线" w:hAnsi="等线"/>
          <w:color w:val="000000"/>
          <w:sz w:val="28"/>
          <w:szCs w:val="28"/>
          <w:highlight w:val="white"/>
        </w:rPr>
        <w:t>.......................................</w:t>
      </w:r>
      <w:r>
        <w:rPr>
          <w:rFonts w:ascii="等线" w:hAnsi="等线"/>
          <w:color w:val="000000"/>
          <w:sz w:val="28"/>
          <w:szCs w:val="28"/>
          <w:highlight w:val="white"/>
        </w:rPr>
        <w:t>.........</w:t>
      </w:r>
      <w:r>
        <w:rPr>
          <w:rFonts w:ascii="等线" w:hAnsi="等线"/>
          <w:sz w:val="28"/>
          <w:szCs w:val="28"/>
        </w:rPr>
        <w:t xml:space="preserve">( </w:t>
      </w:r>
      <w:r>
        <w:rPr>
          <w:rFonts w:hint="eastAsia" w:ascii="等线" w:hAnsi="等线"/>
          <w:sz w:val="28"/>
          <w:szCs w:val="28"/>
          <w:lang w:val="en-US" w:eastAsia="zh-CN"/>
        </w:rPr>
        <w:t>2</w:t>
      </w:r>
      <w:r>
        <w:rPr>
          <w:rFonts w:ascii="等线" w:hAnsi="等线"/>
          <w:sz w:val="28"/>
          <w:szCs w:val="28"/>
        </w:rPr>
        <w:t xml:space="preserve"> )</w:t>
      </w:r>
    </w:p>
    <w:p>
      <w:pPr>
        <w:spacing w:line="360" w:lineRule="auto"/>
        <w:ind w:left="420"/>
        <w:jc w:val="left"/>
        <w:rPr>
          <w:rFonts w:ascii="等线" w:hAnsi="等线"/>
          <w:sz w:val="28"/>
          <w:szCs w:val="28"/>
        </w:rPr>
      </w:pPr>
      <w:r>
        <w:rPr>
          <w:rFonts w:ascii="等线" w:hAnsi="等线"/>
          <w:color w:val="000000"/>
          <w:sz w:val="28"/>
          <w:szCs w:val="28"/>
          <w:highlight w:val="white"/>
        </w:rPr>
        <w:t>（二）机构设置..................................</w:t>
      </w:r>
      <w:r>
        <w:rPr>
          <w:rFonts w:hint="eastAsia" w:ascii="等线" w:hAnsi="等线"/>
          <w:color w:val="000000"/>
          <w:sz w:val="28"/>
          <w:szCs w:val="28"/>
          <w:highlight w:val="white"/>
        </w:rPr>
        <w:t>.......................................</w:t>
      </w:r>
      <w:r>
        <w:rPr>
          <w:rFonts w:ascii="等线" w:hAnsi="等线"/>
          <w:color w:val="000000"/>
          <w:sz w:val="28"/>
          <w:szCs w:val="28"/>
          <w:highlight w:val="white"/>
        </w:rPr>
        <w:t>.......</w:t>
      </w:r>
      <w:r>
        <w:rPr>
          <w:rFonts w:ascii="等线" w:hAnsi="等线"/>
          <w:sz w:val="28"/>
          <w:szCs w:val="28"/>
        </w:rPr>
        <w:t xml:space="preserve">( </w:t>
      </w:r>
      <w:r>
        <w:rPr>
          <w:rFonts w:hint="eastAsia" w:ascii="等线" w:hAnsi="等线"/>
          <w:sz w:val="28"/>
          <w:szCs w:val="28"/>
          <w:lang w:val="en-US" w:eastAsia="zh-CN"/>
        </w:rPr>
        <w:t>2</w:t>
      </w:r>
      <w:r>
        <w:rPr>
          <w:rFonts w:ascii="等线" w:hAnsi="等线"/>
          <w:sz w:val="28"/>
          <w:szCs w:val="28"/>
        </w:rPr>
        <w:t xml:space="preserve"> )</w:t>
      </w:r>
    </w:p>
    <w:p>
      <w:pPr>
        <w:spacing w:line="360" w:lineRule="auto"/>
        <w:jc w:val="left"/>
        <w:rPr>
          <w:rFonts w:ascii="等线" w:hAnsi="等线"/>
          <w:sz w:val="28"/>
          <w:szCs w:val="28"/>
        </w:rPr>
      </w:pPr>
      <w:r>
        <w:rPr>
          <w:rFonts w:ascii="等线" w:hAnsi="等线"/>
          <w:sz w:val="28"/>
          <w:szCs w:val="28"/>
        </w:rPr>
        <w:t>二、</w:t>
      </w:r>
      <w:r>
        <w:rPr>
          <w:rFonts w:ascii="等线" w:hAnsi="等线"/>
          <w:color w:val="000000"/>
          <w:sz w:val="28"/>
          <w:szCs w:val="28"/>
          <w:highlight w:val="white"/>
        </w:rPr>
        <w:t>2021年度部门（单位）决算公开表.............</w:t>
      </w:r>
      <w:r>
        <w:rPr>
          <w:rFonts w:hint="eastAsia" w:ascii="等线" w:hAnsi="等线"/>
          <w:color w:val="000000"/>
          <w:sz w:val="28"/>
          <w:szCs w:val="28"/>
          <w:highlight w:val="white"/>
        </w:rPr>
        <w:t>..................</w:t>
      </w:r>
      <w:r>
        <w:rPr>
          <w:rFonts w:ascii="等线" w:hAnsi="等线"/>
          <w:color w:val="000000"/>
          <w:sz w:val="28"/>
          <w:szCs w:val="28"/>
          <w:highlight w:val="white"/>
        </w:rPr>
        <w:t>.........</w:t>
      </w:r>
      <w:r>
        <w:rPr>
          <w:rFonts w:hint="eastAsia" w:ascii="等线" w:hAnsi="等线"/>
          <w:color w:val="000000"/>
          <w:sz w:val="28"/>
          <w:szCs w:val="28"/>
          <w:highlight w:val="white"/>
          <w:lang w:val="en-US" w:eastAsia="zh-CN"/>
        </w:rPr>
        <w:t>.</w:t>
      </w:r>
      <w:r>
        <w:rPr>
          <w:rFonts w:ascii="等线" w:hAnsi="等线"/>
          <w:color w:val="000000"/>
          <w:sz w:val="28"/>
          <w:szCs w:val="28"/>
          <w:highlight w:val="white"/>
        </w:rPr>
        <w:t>....</w:t>
      </w:r>
      <w:r>
        <w:rPr>
          <w:rFonts w:ascii="等线" w:hAnsi="等线"/>
          <w:sz w:val="28"/>
          <w:szCs w:val="28"/>
        </w:rPr>
        <w:t xml:space="preserve">( </w:t>
      </w:r>
      <w:r>
        <w:rPr>
          <w:rFonts w:hint="eastAsia" w:ascii="等线" w:hAnsi="等线"/>
          <w:sz w:val="28"/>
          <w:szCs w:val="28"/>
          <w:lang w:val="en-US" w:eastAsia="zh-CN"/>
        </w:rPr>
        <w:t>2</w:t>
      </w:r>
      <w:r>
        <w:rPr>
          <w:rFonts w:ascii="等线" w:hAnsi="等线"/>
          <w:sz w:val="28"/>
          <w:szCs w:val="28"/>
        </w:rPr>
        <w:t xml:space="preserve"> )</w:t>
      </w:r>
    </w:p>
    <w:p>
      <w:pPr>
        <w:spacing w:line="360" w:lineRule="auto"/>
        <w:jc w:val="left"/>
        <w:rPr>
          <w:rFonts w:ascii="等线" w:hAnsi="等线"/>
          <w:sz w:val="28"/>
          <w:szCs w:val="28"/>
        </w:rPr>
      </w:pPr>
      <w:r>
        <w:rPr>
          <w:rFonts w:ascii="等线" w:hAnsi="等线"/>
          <w:sz w:val="28"/>
          <w:szCs w:val="28"/>
          <w:highlight w:val="white"/>
        </w:rPr>
        <w:t>三、</w:t>
      </w:r>
      <w:r>
        <w:rPr>
          <w:rFonts w:ascii="等线" w:hAnsi="等线"/>
          <w:color w:val="000000"/>
          <w:sz w:val="28"/>
          <w:szCs w:val="28"/>
          <w:highlight w:val="white"/>
        </w:rPr>
        <w:t>2021年度部门（单位）决算情况说明...........</w:t>
      </w:r>
      <w:r>
        <w:rPr>
          <w:rFonts w:hint="eastAsia" w:ascii="等线" w:hAnsi="等线"/>
          <w:color w:val="000000"/>
          <w:sz w:val="28"/>
          <w:szCs w:val="28"/>
          <w:highlight w:val="white"/>
        </w:rPr>
        <w:t>................</w:t>
      </w:r>
      <w:r>
        <w:rPr>
          <w:rFonts w:ascii="等线" w:hAnsi="等线"/>
          <w:color w:val="000000"/>
          <w:sz w:val="28"/>
          <w:szCs w:val="28"/>
          <w:highlight w:val="white"/>
        </w:rPr>
        <w:t>..........</w:t>
      </w:r>
      <w:r>
        <w:rPr>
          <w:rFonts w:hint="eastAsia" w:ascii="等线" w:hAnsi="等线"/>
          <w:color w:val="000000"/>
          <w:sz w:val="28"/>
          <w:szCs w:val="28"/>
          <w:highlight w:val="white"/>
          <w:lang w:val="en-US" w:eastAsia="zh-CN"/>
        </w:rPr>
        <w:t>.</w:t>
      </w:r>
      <w:r>
        <w:rPr>
          <w:rFonts w:ascii="等线" w:hAnsi="等线"/>
          <w:color w:val="000000"/>
          <w:sz w:val="28"/>
          <w:szCs w:val="28"/>
          <w:highlight w:val="white"/>
        </w:rPr>
        <w:t>...</w:t>
      </w:r>
      <w:r>
        <w:rPr>
          <w:rFonts w:ascii="等线" w:hAnsi="等线"/>
          <w:sz w:val="28"/>
          <w:szCs w:val="28"/>
        </w:rPr>
        <w:t xml:space="preserve">( </w:t>
      </w:r>
      <w:r>
        <w:rPr>
          <w:rFonts w:hint="eastAsia" w:ascii="等线" w:hAnsi="等线"/>
          <w:sz w:val="28"/>
          <w:szCs w:val="28"/>
          <w:lang w:val="en-US" w:eastAsia="zh-CN"/>
        </w:rPr>
        <w:t>2</w:t>
      </w:r>
      <w:r>
        <w:rPr>
          <w:rFonts w:ascii="等线" w:hAnsi="等线"/>
          <w:sz w:val="28"/>
          <w:szCs w:val="28"/>
        </w:rPr>
        <w:t xml:space="preserve"> )</w:t>
      </w:r>
    </w:p>
    <w:p>
      <w:pPr>
        <w:spacing w:line="360" w:lineRule="auto"/>
        <w:ind w:left="420"/>
        <w:jc w:val="left"/>
        <w:rPr>
          <w:rFonts w:ascii="等线" w:hAnsi="等线"/>
          <w:sz w:val="28"/>
          <w:szCs w:val="28"/>
        </w:rPr>
      </w:pPr>
      <w:r>
        <w:rPr>
          <w:rFonts w:ascii="等线" w:hAnsi="等线"/>
          <w:color w:val="000000"/>
          <w:sz w:val="28"/>
          <w:szCs w:val="28"/>
          <w:highlight w:val="white"/>
        </w:rPr>
        <w:t>（一）收入支出决算总体情况说明...................</w:t>
      </w:r>
      <w:r>
        <w:rPr>
          <w:rFonts w:hint="eastAsia" w:ascii="等线" w:hAnsi="等线"/>
          <w:color w:val="000000"/>
          <w:sz w:val="28"/>
          <w:szCs w:val="28"/>
          <w:highlight w:val="white"/>
        </w:rPr>
        <w:t>......................</w:t>
      </w:r>
      <w:r>
        <w:rPr>
          <w:rFonts w:ascii="等线" w:hAnsi="等线"/>
          <w:color w:val="000000"/>
          <w:sz w:val="28"/>
          <w:szCs w:val="28"/>
          <w:highlight w:val="white"/>
        </w:rPr>
        <w:t>..</w:t>
      </w:r>
      <w:r>
        <w:rPr>
          <w:rFonts w:hint="eastAsia" w:ascii="等线" w:hAnsi="等线"/>
          <w:color w:val="000000"/>
          <w:sz w:val="28"/>
          <w:szCs w:val="28"/>
          <w:highlight w:val="white"/>
          <w:lang w:val="en-US" w:eastAsia="zh-CN"/>
        </w:rPr>
        <w:t>.</w:t>
      </w:r>
      <w:r>
        <w:rPr>
          <w:rFonts w:ascii="等线" w:hAnsi="等线"/>
          <w:color w:val="000000"/>
          <w:sz w:val="28"/>
          <w:szCs w:val="28"/>
          <w:highlight w:val="white"/>
        </w:rPr>
        <w:t>....</w:t>
      </w:r>
      <w:r>
        <w:rPr>
          <w:rFonts w:ascii="等线" w:hAnsi="等线"/>
          <w:sz w:val="28"/>
          <w:szCs w:val="28"/>
        </w:rPr>
        <w:t xml:space="preserve">( </w:t>
      </w:r>
      <w:r>
        <w:rPr>
          <w:rFonts w:hint="eastAsia" w:ascii="等线" w:hAnsi="等线"/>
          <w:sz w:val="28"/>
          <w:szCs w:val="28"/>
          <w:lang w:val="en-US" w:eastAsia="zh-CN"/>
        </w:rPr>
        <w:t>2</w:t>
      </w:r>
      <w:r>
        <w:rPr>
          <w:rFonts w:ascii="等线" w:hAnsi="等线"/>
          <w:sz w:val="28"/>
          <w:szCs w:val="28"/>
        </w:rPr>
        <w:t xml:space="preserve"> )</w:t>
      </w:r>
    </w:p>
    <w:p>
      <w:pPr>
        <w:spacing w:line="360" w:lineRule="auto"/>
        <w:ind w:left="420"/>
        <w:jc w:val="left"/>
        <w:rPr>
          <w:rFonts w:ascii="等线" w:hAnsi="等线"/>
          <w:sz w:val="28"/>
          <w:szCs w:val="28"/>
        </w:rPr>
      </w:pPr>
      <w:r>
        <w:rPr>
          <w:rFonts w:ascii="等线" w:hAnsi="等线"/>
          <w:color w:val="000000"/>
          <w:sz w:val="28"/>
          <w:szCs w:val="28"/>
          <w:highlight w:val="white"/>
        </w:rPr>
        <w:t>（二）收入决算情况说明.........................</w:t>
      </w:r>
      <w:r>
        <w:rPr>
          <w:rFonts w:hint="eastAsia" w:ascii="等线" w:hAnsi="等线"/>
          <w:color w:val="000000"/>
          <w:sz w:val="28"/>
          <w:szCs w:val="28"/>
          <w:highlight w:val="white"/>
        </w:rPr>
        <w:t>..............................</w:t>
      </w:r>
      <w:r>
        <w:rPr>
          <w:rFonts w:ascii="等线" w:hAnsi="等线"/>
          <w:color w:val="000000"/>
          <w:sz w:val="28"/>
          <w:szCs w:val="28"/>
          <w:highlight w:val="white"/>
        </w:rPr>
        <w:t>....</w:t>
      </w:r>
      <w:r>
        <w:rPr>
          <w:rFonts w:hint="eastAsia" w:ascii="等线" w:hAnsi="等线"/>
          <w:color w:val="000000"/>
          <w:sz w:val="28"/>
          <w:szCs w:val="28"/>
          <w:highlight w:val="white"/>
          <w:lang w:val="en-US" w:eastAsia="zh-CN"/>
        </w:rPr>
        <w:t>.</w:t>
      </w:r>
      <w:r>
        <w:rPr>
          <w:rFonts w:ascii="等线" w:hAnsi="等线"/>
          <w:color w:val="000000"/>
          <w:sz w:val="28"/>
          <w:szCs w:val="28"/>
          <w:highlight w:val="white"/>
        </w:rPr>
        <w:t>....</w:t>
      </w:r>
      <w:r>
        <w:rPr>
          <w:rFonts w:ascii="等线" w:hAnsi="等线"/>
          <w:sz w:val="28"/>
          <w:szCs w:val="28"/>
        </w:rPr>
        <w:t xml:space="preserve">( </w:t>
      </w:r>
      <w:r>
        <w:rPr>
          <w:rFonts w:hint="eastAsia" w:ascii="等线" w:hAnsi="等线"/>
          <w:sz w:val="28"/>
          <w:szCs w:val="28"/>
          <w:lang w:val="en-US" w:eastAsia="zh-CN"/>
        </w:rPr>
        <w:t>2</w:t>
      </w:r>
      <w:r>
        <w:rPr>
          <w:rFonts w:ascii="等线" w:hAnsi="等线"/>
          <w:sz w:val="28"/>
          <w:szCs w:val="28"/>
        </w:rPr>
        <w:t xml:space="preserve"> )</w:t>
      </w:r>
    </w:p>
    <w:p>
      <w:pPr>
        <w:spacing w:line="360" w:lineRule="auto"/>
        <w:ind w:left="420"/>
        <w:jc w:val="left"/>
        <w:rPr>
          <w:rFonts w:ascii="等线" w:hAnsi="等线"/>
          <w:sz w:val="28"/>
          <w:szCs w:val="28"/>
        </w:rPr>
      </w:pPr>
      <w:r>
        <w:rPr>
          <w:rFonts w:ascii="等线" w:hAnsi="等线"/>
          <w:color w:val="000000"/>
          <w:sz w:val="28"/>
          <w:szCs w:val="28"/>
          <w:highlight w:val="white"/>
        </w:rPr>
        <w:t>（三）支出决算情况说明..........................</w:t>
      </w:r>
      <w:r>
        <w:rPr>
          <w:rFonts w:hint="eastAsia" w:ascii="等线" w:hAnsi="等线"/>
          <w:color w:val="000000"/>
          <w:sz w:val="28"/>
          <w:szCs w:val="28"/>
          <w:highlight w:val="white"/>
        </w:rPr>
        <w:t>..............................</w:t>
      </w:r>
      <w:r>
        <w:rPr>
          <w:rFonts w:ascii="等线" w:hAnsi="等线"/>
          <w:color w:val="000000"/>
          <w:sz w:val="28"/>
          <w:szCs w:val="28"/>
          <w:highlight w:val="white"/>
        </w:rPr>
        <w:t>...</w:t>
      </w:r>
      <w:r>
        <w:rPr>
          <w:rFonts w:hint="eastAsia" w:ascii="等线" w:hAnsi="等线"/>
          <w:color w:val="000000"/>
          <w:sz w:val="28"/>
          <w:szCs w:val="28"/>
          <w:highlight w:val="white"/>
          <w:lang w:val="en-US" w:eastAsia="zh-CN"/>
        </w:rPr>
        <w:t>.</w:t>
      </w:r>
      <w:r>
        <w:rPr>
          <w:rFonts w:ascii="等线" w:hAnsi="等线"/>
          <w:color w:val="000000"/>
          <w:sz w:val="28"/>
          <w:szCs w:val="28"/>
          <w:highlight w:val="white"/>
        </w:rPr>
        <w:t>....</w:t>
      </w:r>
      <w:r>
        <w:rPr>
          <w:rFonts w:ascii="等线" w:hAnsi="等线"/>
          <w:sz w:val="28"/>
          <w:szCs w:val="28"/>
        </w:rPr>
        <w:t xml:space="preserve">( </w:t>
      </w:r>
      <w:r>
        <w:rPr>
          <w:rFonts w:hint="eastAsia" w:ascii="等线" w:hAnsi="等线"/>
          <w:sz w:val="28"/>
          <w:szCs w:val="28"/>
          <w:lang w:val="en-US" w:eastAsia="zh-CN"/>
        </w:rPr>
        <w:t>3</w:t>
      </w:r>
      <w:r>
        <w:rPr>
          <w:rFonts w:ascii="等线" w:hAnsi="等线"/>
          <w:sz w:val="28"/>
          <w:szCs w:val="28"/>
        </w:rPr>
        <w:t xml:space="preserve"> )</w:t>
      </w:r>
    </w:p>
    <w:p>
      <w:pPr>
        <w:spacing w:line="360" w:lineRule="auto"/>
        <w:ind w:left="420"/>
        <w:jc w:val="left"/>
        <w:rPr>
          <w:rFonts w:ascii="等线" w:hAnsi="等线"/>
          <w:sz w:val="28"/>
          <w:szCs w:val="28"/>
        </w:rPr>
      </w:pPr>
      <w:r>
        <w:rPr>
          <w:rFonts w:ascii="等线" w:hAnsi="等线"/>
          <w:color w:val="000000"/>
          <w:sz w:val="28"/>
          <w:szCs w:val="28"/>
          <w:highlight w:val="white"/>
        </w:rPr>
        <w:t>（四）财政拨款收入支出决算总体情况说明........</w:t>
      </w:r>
      <w:r>
        <w:rPr>
          <w:rFonts w:hint="eastAsia" w:ascii="等线" w:hAnsi="等线"/>
          <w:color w:val="000000"/>
          <w:sz w:val="28"/>
          <w:szCs w:val="28"/>
          <w:highlight w:val="white"/>
        </w:rPr>
        <w:t>..............</w:t>
      </w:r>
      <w:r>
        <w:rPr>
          <w:rFonts w:ascii="等线" w:hAnsi="等线"/>
          <w:color w:val="000000"/>
          <w:sz w:val="28"/>
          <w:szCs w:val="28"/>
          <w:highlight w:val="white"/>
        </w:rPr>
        <w:t>.....</w:t>
      </w:r>
      <w:r>
        <w:rPr>
          <w:rFonts w:hint="eastAsia" w:ascii="等线" w:hAnsi="等线"/>
          <w:color w:val="000000"/>
          <w:sz w:val="28"/>
          <w:szCs w:val="28"/>
          <w:highlight w:val="white"/>
          <w:lang w:val="en-US" w:eastAsia="zh-CN"/>
        </w:rPr>
        <w:t>.</w:t>
      </w:r>
      <w:r>
        <w:rPr>
          <w:rFonts w:ascii="等线" w:hAnsi="等线"/>
          <w:color w:val="000000"/>
          <w:sz w:val="28"/>
          <w:szCs w:val="28"/>
          <w:highlight w:val="white"/>
        </w:rPr>
        <w:t>....</w:t>
      </w:r>
      <w:r>
        <w:rPr>
          <w:rFonts w:ascii="等线" w:hAnsi="等线"/>
          <w:sz w:val="28"/>
          <w:szCs w:val="28"/>
        </w:rPr>
        <w:t xml:space="preserve">( </w:t>
      </w:r>
      <w:r>
        <w:rPr>
          <w:rFonts w:hint="eastAsia" w:ascii="等线" w:hAnsi="等线"/>
          <w:sz w:val="28"/>
          <w:szCs w:val="28"/>
          <w:lang w:val="en-US" w:eastAsia="zh-CN"/>
        </w:rPr>
        <w:t>3</w:t>
      </w:r>
      <w:r>
        <w:rPr>
          <w:rFonts w:ascii="等线" w:hAnsi="等线"/>
          <w:sz w:val="28"/>
          <w:szCs w:val="28"/>
        </w:rPr>
        <w:t xml:space="preserve"> )</w:t>
      </w:r>
    </w:p>
    <w:p>
      <w:pPr>
        <w:spacing w:line="360" w:lineRule="auto"/>
        <w:ind w:left="420"/>
        <w:jc w:val="left"/>
        <w:rPr>
          <w:rFonts w:ascii="等线" w:hAnsi="等线"/>
          <w:sz w:val="28"/>
          <w:szCs w:val="28"/>
        </w:rPr>
      </w:pPr>
      <w:r>
        <w:rPr>
          <w:rFonts w:ascii="等线" w:hAnsi="等线"/>
          <w:color w:val="000000"/>
          <w:sz w:val="28"/>
          <w:szCs w:val="28"/>
          <w:highlight w:val="white"/>
        </w:rPr>
        <w:t>（五）一般公共预算财政拨款支出决算情况说明........</w:t>
      </w:r>
      <w:r>
        <w:rPr>
          <w:rFonts w:hint="eastAsia" w:ascii="等线" w:hAnsi="等线"/>
          <w:color w:val="000000"/>
          <w:sz w:val="28"/>
          <w:szCs w:val="28"/>
          <w:highlight w:val="white"/>
        </w:rPr>
        <w:t>..........</w:t>
      </w:r>
      <w:r>
        <w:rPr>
          <w:rFonts w:hint="eastAsia" w:ascii="等线" w:hAnsi="等线"/>
          <w:color w:val="000000"/>
          <w:sz w:val="28"/>
          <w:szCs w:val="28"/>
          <w:highlight w:val="white"/>
          <w:lang w:val="en-US" w:eastAsia="zh-CN"/>
        </w:rPr>
        <w:t>.</w:t>
      </w:r>
      <w:r>
        <w:rPr>
          <w:rFonts w:ascii="等线" w:hAnsi="等线"/>
          <w:color w:val="000000"/>
          <w:sz w:val="28"/>
          <w:szCs w:val="28"/>
          <w:highlight w:val="white"/>
        </w:rPr>
        <w:t>.....</w:t>
      </w:r>
      <w:r>
        <w:rPr>
          <w:rFonts w:ascii="等线" w:hAnsi="等线"/>
          <w:sz w:val="28"/>
          <w:szCs w:val="28"/>
        </w:rPr>
        <w:t xml:space="preserve">( </w:t>
      </w:r>
      <w:r>
        <w:rPr>
          <w:rFonts w:hint="eastAsia" w:ascii="等线" w:hAnsi="等线"/>
          <w:sz w:val="28"/>
          <w:szCs w:val="28"/>
          <w:lang w:val="en-US" w:eastAsia="zh-CN"/>
        </w:rPr>
        <w:t>3</w:t>
      </w:r>
      <w:r>
        <w:rPr>
          <w:rFonts w:ascii="等线" w:hAnsi="等线"/>
          <w:sz w:val="28"/>
          <w:szCs w:val="28"/>
        </w:rPr>
        <w:t xml:space="preserve"> )</w:t>
      </w:r>
    </w:p>
    <w:p>
      <w:pPr>
        <w:spacing w:line="360" w:lineRule="auto"/>
        <w:ind w:left="420"/>
        <w:jc w:val="left"/>
        <w:rPr>
          <w:rFonts w:ascii="等线" w:hAnsi="等线"/>
          <w:sz w:val="28"/>
          <w:szCs w:val="28"/>
        </w:rPr>
      </w:pPr>
      <w:r>
        <w:rPr>
          <w:rFonts w:ascii="等线" w:hAnsi="等线"/>
          <w:color w:val="000000"/>
          <w:sz w:val="28"/>
          <w:szCs w:val="28"/>
          <w:highlight w:val="white"/>
        </w:rPr>
        <w:t>（六）一般公共预算财政拨款基本支出决算情况说明....</w:t>
      </w:r>
      <w:r>
        <w:rPr>
          <w:rFonts w:hint="eastAsia" w:ascii="等线" w:hAnsi="等线"/>
          <w:color w:val="000000"/>
          <w:sz w:val="28"/>
          <w:szCs w:val="28"/>
          <w:highlight w:val="white"/>
        </w:rPr>
        <w:t>......</w:t>
      </w:r>
      <w:r>
        <w:rPr>
          <w:rFonts w:ascii="等线" w:hAnsi="等线"/>
          <w:color w:val="000000"/>
          <w:sz w:val="28"/>
          <w:szCs w:val="28"/>
          <w:highlight w:val="white"/>
        </w:rPr>
        <w:t>.</w:t>
      </w:r>
      <w:r>
        <w:rPr>
          <w:rFonts w:hint="eastAsia" w:ascii="等线" w:hAnsi="等线"/>
          <w:color w:val="000000"/>
          <w:sz w:val="28"/>
          <w:szCs w:val="28"/>
          <w:highlight w:val="white"/>
          <w:lang w:val="en-US" w:eastAsia="zh-CN"/>
        </w:rPr>
        <w:t>.</w:t>
      </w:r>
      <w:r>
        <w:rPr>
          <w:rFonts w:ascii="等线" w:hAnsi="等线"/>
          <w:color w:val="000000"/>
          <w:sz w:val="28"/>
          <w:szCs w:val="28"/>
          <w:highlight w:val="white"/>
        </w:rPr>
        <w:t>....</w:t>
      </w:r>
      <w:r>
        <w:rPr>
          <w:rFonts w:ascii="等线" w:hAnsi="等线"/>
          <w:sz w:val="28"/>
          <w:szCs w:val="28"/>
        </w:rPr>
        <w:t xml:space="preserve">( </w:t>
      </w:r>
      <w:r>
        <w:rPr>
          <w:rFonts w:hint="eastAsia" w:ascii="等线" w:hAnsi="等线"/>
          <w:sz w:val="28"/>
          <w:szCs w:val="28"/>
          <w:lang w:val="en-US" w:eastAsia="zh-CN"/>
        </w:rPr>
        <w:t>4</w:t>
      </w:r>
      <w:r>
        <w:rPr>
          <w:rFonts w:ascii="等线" w:hAnsi="等线"/>
          <w:sz w:val="28"/>
          <w:szCs w:val="28"/>
        </w:rPr>
        <w:t xml:space="preserve"> )</w:t>
      </w:r>
    </w:p>
    <w:p>
      <w:pPr>
        <w:spacing w:line="360" w:lineRule="auto"/>
        <w:ind w:left="420"/>
        <w:jc w:val="left"/>
        <w:rPr>
          <w:rFonts w:ascii="等线" w:hAnsi="等线"/>
          <w:sz w:val="28"/>
          <w:szCs w:val="28"/>
        </w:rPr>
      </w:pPr>
      <w:r>
        <w:rPr>
          <w:rFonts w:ascii="等线" w:hAnsi="等线"/>
          <w:color w:val="000000"/>
          <w:sz w:val="28"/>
          <w:szCs w:val="28"/>
          <w:highlight w:val="white"/>
        </w:rPr>
        <w:t>（七）政府性基金预算财政拨款支出决算总体情况说明.....</w:t>
      </w:r>
      <w:r>
        <w:rPr>
          <w:rFonts w:hint="eastAsia" w:ascii="等线" w:hAnsi="等线"/>
          <w:color w:val="000000"/>
          <w:sz w:val="28"/>
          <w:szCs w:val="28"/>
          <w:highlight w:val="white"/>
        </w:rPr>
        <w:t>...</w:t>
      </w:r>
      <w:r>
        <w:rPr>
          <w:rFonts w:hint="eastAsia" w:ascii="等线" w:hAnsi="等线"/>
          <w:color w:val="000000"/>
          <w:sz w:val="28"/>
          <w:szCs w:val="28"/>
          <w:highlight w:val="white"/>
          <w:lang w:val="en-US" w:eastAsia="zh-CN"/>
        </w:rPr>
        <w:t>.</w:t>
      </w:r>
      <w:r>
        <w:rPr>
          <w:rFonts w:hint="eastAsia" w:ascii="等线" w:hAnsi="等线"/>
          <w:color w:val="000000"/>
          <w:sz w:val="28"/>
          <w:szCs w:val="28"/>
          <w:highlight w:val="white"/>
        </w:rPr>
        <w:t>.</w:t>
      </w:r>
      <w:r>
        <w:rPr>
          <w:rFonts w:ascii="等线" w:hAnsi="等线"/>
          <w:color w:val="000000"/>
          <w:sz w:val="28"/>
          <w:szCs w:val="28"/>
          <w:highlight w:val="white"/>
        </w:rPr>
        <w:t>..</w:t>
      </w:r>
      <w:r>
        <w:rPr>
          <w:rFonts w:ascii="等线" w:hAnsi="等线"/>
          <w:sz w:val="28"/>
          <w:szCs w:val="28"/>
        </w:rPr>
        <w:t xml:space="preserve">( </w:t>
      </w:r>
      <w:r>
        <w:rPr>
          <w:rFonts w:hint="eastAsia" w:ascii="等线" w:hAnsi="等线"/>
          <w:sz w:val="28"/>
          <w:szCs w:val="28"/>
          <w:lang w:val="en-US" w:eastAsia="zh-CN"/>
        </w:rPr>
        <w:t>5</w:t>
      </w:r>
      <w:r>
        <w:rPr>
          <w:rFonts w:ascii="等线" w:hAnsi="等线"/>
          <w:sz w:val="28"/>
          <w:szCs w:val="28"/>
        </w:rPr>
        <w:t xml:space="preserve"> )</w:t>
      </w:r>
    </w:p>
    <w:p>
      <w:pPr>
        <w:spacing w:line="360" w:lineRule="auto"/>
        <w:ind w:left="420"/>
        <w:jc w:val="left"/>
        <w:rPr>
          <w:rFonts w:ascii="等线" w:hAnsi="等线"/>
          <w:color w:val="000000"/>
          <w:sz w:val="28"/>
          <w:szCs w:val="28"/>
          <w:highlight w:val="white"/>
        </w:rPr>
      </w:pPr>
      <w:r>
        <w:rPr>
          <w:rFonts w:ascii="等线" w:hAnsi="等线"/>
          <w:color w:val="000000"/>
          <w:sz w:val="28"/>
          <w:szCs w:val="28"/>
          <w:highlight w:val="white"/>
        </w:rPr>
        <w:t>（八）国有资本经营预算财政拨款支出决算总体情况说明...</w:t>
      </w:r>
      <w:r>
        <w:rPr>
          <w:rFonts w:hint="eastAsia" w:ascii="等线" w:hAnsi="等线"/>
          <w:color w:val="000000"/>
          <w:sz w:val="28"/>
          <w:szCs w:val="28"/>
          <w:highlight w:val="white"/>
        </w:rPr>
        <w:t>.</w:t>
      </w:r>
      <w:r>
        <w:rPr>
          <w:rFonts w:hint="eastAsia" w:ascii="等线" w:hAnsi="等线"/>
          <w:color w:val="000000"/>
          <w:sz w:val="28"/>
          <w:szCs w:val="28"/>
          <w:highlight w:val="white"/>
          <w:lang w:val="en-US" w:eastAsia="zh-CN"/>
        </w:rPr>
        <w:t>.</w:t>
      </w:r>
      <w:r>
        <w:rPr>
          <w:rFonts w:hint="eastAsia" w:ascii="等线" w:hAnsi="等线"/>
          <w:color w:val="000000"/>
          <w:sz w:val="28"/>
          <w:szCs w:val="28"/>
          <w:highlight w:val="white"/>
        </w:rPr>
        <w:t>.</w:t>
      </w:r>
      <w:r>
        <w:rPr>
          <w:rFonts w:ascii="等线" w:hAnsi="等线"/>
          <w:color w:val="000000"/>
          <w:sz w:val="28"/>
          <w:szCs w:val="28"/>
          <w:highlight w:val="white"/>
        </w:rPr>
        <w:t>..</w:t>
      </w:r>
      <w:r>
        <w:rPr>
          <w:rFonts w:ascii="等线" w:hAnsi="等线"/>
          <w:sz w:val="28"/>
          <w:szCs w:val="28"/>
        </w:rPr>
        <w:t xml:space="preserve">( </w:t>
      </w:r>
      <w:r>
        <w:rPr>
          <w:rFonts w:hint="eastAsia" w:ascii="等线" w:hAnsi="等线"/>
          <w:sz w:val="28"/>
          <w:szCs w:val="28"/>
          <w:lang w:val="en-US" w:eastAsia="zh-CN"/>
        </w:rPr>
        <w:t>5</w:t>
      </w:r>
      <w:r>
        <w:rPr>
          <w:rFonts w:ascii="等线" w:hAnsi="等线"/>
          <w:sz w:val="28"/>
          <w:szCs w:val="28"/>
        </w:rPr>
        <w:t xml:space="preserve"> )</w:t>
      </w:r>
    </w:p>
    <w:p>
      <w:pPr>
        <w:spacing w:line="360" w:lineRule="auto"/>
        <w:ind w:left="420"/>
        <w:jc w:val="left"/>
        <w:rPr>
          <w:rFonts w:ascii="等线" w:hAnsi="等线"/>
          <w:color w:val="000000"/>
          <w:sz w:val="28"/>
          <w:szCs w:val="28"/>
          <w:highlight w:val="white"/>
        </w:rPr>
      </w:pPr>
      <w:r>
        <w:rPr>
          <w:rFonts w:ascii="等线" w:hAnsi="等线"/>
          <w:color w:val="000000"/>
          <w:sz w:val="28"/>
          <w:szCs w:val="28"/>
          <w:highlight w:val="white"/>
        </w:rPr>
        <w:t>（九）一般公共预算财政拨款“三公”经费支出决算情况说明</w:t>
      </w:r>
      <w:r>
        <w:rPr>
          <w:rFonts w:hint="eastAsia" w:ascii="等线" w:hAnsi="等线"/>
          <w:color w:val="000000"/>
          <w:sz w:val="28"/>
          <w:szCs w:val="28"/>
          <w:highlight w:val="white"/>
        </w:rPr>
        <w:t>.</w:t>
      </w:r>
      <w:r>
        <w:rPr>
          <w:rFonts w:hint="eastAsia" w:ascii="等线" w:hAnsi="等线"/>
          <w:color w:val="000000"/>
          <w:sz w:val="28"/>
          <w:szCs w:val="28"/>
          <w:highlight w:val="white"/>
          <w:lang w:val="en-US" w:eastAsia="zh-CN"/>
        </w:rPr>
        <w:t>.</w:t>
      </w:r>
      <w:r>
        <w:rPr>
          <w:rFonts w:hint="eastAsia" w:ascii="等线" w:hAnsi="等线"/>
          <w:color w:val="000000"/>
          <w:sz w:val="28"/>
          <w:szCs w:val="28"/>
          <w:highlight w:val="white"/>
        </w:rPr>
        <w:t>.</w:t>
      </w:r>
      <w:r>
        <w:rPr>
          <w:rFonts w:ascii="等线" w:hAnsi="等线"/>
          <w:color w:val="000000"/>
          <w:sz w:val="28"/>
          <w:szCs w:val="28"/>
          <w:highlight w:val="white"/>
        </w:rPr>
        <w:t>.</w:t>
      </w:r>
      <w:r>
        <w:rPr>
          <w:rFonts w:ascii="等线" w:hAnsi="等线"/>
          <w:sz w:val="28"/>
          <w:szCs w:val="28"/>
        </w:rPr>
        <w:t xml:space="preserve">( </w:t>
      </w:r>
      <w:r>
        <w:rPr>
          <w:rFonts w:hint="eastAsia" w:ascii="等线" w:hAnsi="等线"/>
          <w:sz w:val="28"/>
          <w:szCs w:val="28"/>
          <w:lang w:val="en-US" w:eastAsia="zh-CN"/>
        </w:rPr>
        <w:t>5</w:t>
      </w:r>
      <w:r>
        <w:rPr>
          <w:rFonts w:ascii="等线" w:hAnsi="等线"/>
          <w:sz w:val="28"/>
          <w:szCs w:val="28"/>
        </w:rPr>
        <w:t xml:space="preserve"> )</w:t>
      </w:r>
    </w:p>
    <w:p>
      <w:pPr>
        <w:spacing w:line="360" w:lineRule="auto"/>
        <w:ind w:left="420"/>
        <w:jc w:val="left"/>
        <w:rPr>
          <w:rFonts w:ascii="等线" w:hAnsi="等线"/>
          <w:sz w:val="28"/>
          <w:szCs w:val="28"/>
        </w:rPr>
      </w:pPr>
      <w:r>
        <w:rPr>
          <w:rFonts w:ascii="等线" w:hAnsi="等线"/>
          <w:color w:val="000000"/>
          <w:sz w:val="28"/>
          <w:szCs w:val="28"/>
          <w:highlight w:val="white"/>
        </w:rPr>
        <w:t>（十）机关运行经费支出说明...........................</w:t>
      </w:r>
      <w:r>
        <w:rPr>
          <w:rFonts w:hint="eastAsia" w:ascii="等线" w:hAnsi="等线"/>
          <w:color w:val="000000"/>
          <w:sz w:val="28"/>
          <w:szCs w:val="28"/>
          <w:highlight w:val="white"/>
        </w:rPr>
        <w:t>........................</w:t>
      </w:r>
      <w:r>
        <w:rPr>
          <w:rFonts w:hint="eastAsia" w:ascii="等线" w:hAnsi="等线"/>
          <w:color w:val="000000"/>
          <w:sz w:val="28"/>
          <w:szCs w:val="28"/>
          <w:highlight w:val="white"/>
          <w:lang w:val="en-US" w:eastAsia="zh-CN"/>
        </w:rPr>
        <w:t>.</w:t>
      </w:r>
      <w:r>
        <w:rPr>
          <w:rFonts w:hint="eastAsia" w:ascii="等线" w:hAnsi="等线"/>
          <w:color w:val="000000"/>
          <w:sz w:val="28"/>
          <w:szCs w:val="28"/>
          <w:highlight w:val="white"/>
        </w:rPr>
        <w:t>.</w:t>
      </w:r>
      <w:r>
        <w:rPr>
          <w:rFonts w:ascii="等线" w:hAnsi="等线"/>
          <w:color w:val="000000"/>
          <w:sz w:val="28"/>
          <w:szCs w:val="28"/>
          <w:highlight w:val="white"/>
        </w:rPr>
        <w:t>..</w:t>
      </w:r>
      <w:r>
        <w:rPr>
          <w:rFonts w:ascii="等线" w:hAnsi="等线"/>
          <w:sz w:val="28"/>
          <w:szCs w:val="28"/>
        </w:rPr>
        <w:t xml:space="preserve">( </w:t>
      </w:r>
      <w:r>
        <w:rPr>
          <w:rFonts w:hint="eastAsia" w:ascii="等线" w:hAnsi="等线"/>
          <w:sz w:val="28"/>
          <w:szCs w:val="28"/>
          <w:lang w:val="en-US" w:eastAsia="zh-CN"/>
        </w:rPr>
        <w:t>6</w:t>
      </w:r>
      <w:r>
        <w:rPr>
          <w:rFonts w:ascii="等线" w:hAnsi="等线"/>
          <w:sz w:val="28"/>
          <w:szCs w:val="28"/>
        </w:rPr>
        <w:t xml:space="preserve"> )</w:t>
      </w:r>
    </w:p>
    <w:p>
      <w:pPr>
        <w:spacing w:line="360" w:lineRule="auto"/>
        <w:ind w:left="420"/>
        <w:jc w:val="left"/>
        <w:rPr>
          <w:rFonts w:ascii="等线" w:hAnsi="等线"/>
          <w:color w:val="000000"/>
          <w:sz w:val="28"/>
          <w:szCs w:val="28"/>
          <w:highlight w:val="white"/>
        </w:rPr>
      </w:pPr>
      <w:r>
        <w:rPr>
          <w:rFonts w:ascii="等线" w:hAnsi="等线"/>
          <w:color w:val="000000"/>
          <w:sz w:val="28"/>
          <w:szCs w:val="28"/>
          <w:highlight w:val="white"/>
        </w:rPr>
        <w:t>（十一）政府采购支出说明...........................</w:t>
      </w:r>
      <w:r>
        <w:rPr>
          <w:rFonts w:hint="eastAsia" w:ascii="等线" w:hAnsi="等线"/>
          <w:color w:val="000000"/>
          <w:sz w:val="28"/>
          <w:szCs w:val="28"/>
          <w:highlight w:val="white"/>
        </w:rPr>
        <w:t>...........................</w:t>
      </w:r>
      <w:r>
        <w:rPr>
          <w:rFonts w:hint="eastAsia" w:ascii="等线" w:hAnsi="等线"/>
          <w:color w:val="000000"/>
          <w:sz w:val="28"/>
          <w:szCs w:val="28"/>
          <w:highlight w:val="white"/>
          <w:lang w:val="en-US" w:eastAsia="zh-CN"/>
        </w:rPr>
        <w:t>.</w:t>
      </w:r>
      <w:r>
        <w:rPr>
          <w:rFonts w:ascii="等线" w:hAnsi="等线"/>
          <w:color w:val="000000"/>
          <w:sz w:val="28"/>
          <w:szCs w:val="28"/>
          <w:highlight w:val="white"/>
        </w:rPr>
        <w:t>....</w:t>
      </w:r>
      <w:r>
        <w:rPr>
          <w:rFonts w:ascii="等线" w:hAnsi="等线"/>
          <w:sz w:val="28"/>
          <w:szCs w:val="28"/>
        </w:rPr>
        <w:t xml:space="preserve">( </w:t>
      </w:r>
      <w:r>
        <w:rPr>
          <w:rFonts w:hint="eastAsia" w:ascii="等线" w:hAnsi="等线"/>
          <w:sz w:val="28"/>
          <w:szCs w:val="28"/>
          <w:lang w:val="en-US" w:eastAsia="zh-CN"/>
        </w:rPr>
        <w:t>6</w:t>
      </w:r>
      <w:r>
        <w:rPr>
          <w:rFonts w:ascii="等线" w:hAnsi="等线"/>
          <w:sz w:val="28"/>
          <w:szCs w:val="28"/>
        </w:rPr>
        <w:t xml:space="preserve"> )</w:t>
      </w:r>
    </w:p>
    <w:p>
      <w:pPr>
        <w:spacing w:line="360" w:lineRule="auto"/>
        <w:ind w:left="420"/>
        <w:jc w:val="left"/>
        <w:rPr>
          <w:rFonts w:ascii="等线" w:hAnsi="等线"/>
          <w:color w:val="000000"/>
          <w:sz w:val="28"/>
          <w:szCs w:val="28"/>
          <w:highlight w:val="white"/>
        </w:rPr>
      </w:pPr>
      <w:r>
        <w:rPr>
          <w:rFonts w:ascii="等线" w:hAnsi="等线"/>
          <w:color w:val="000000"/>
          <w:sz w:val="28"/>
          <w:szCs w:val="28"/>
          <w:highlight w:val="white"/>
        </w:rPr>
        <w:t>（十二）国有资产占有情况说明.................</w:t>
      </w:r>
      <w:r>
        <w:rPr>
          <w:rFonts w:hint="eastAsia" w:ascii="等线" w:hAnsi="等线"/>
          <w:color w:val="000000"/>
          <w:sz w:val="28"/>
          <w:szCs w:val="28"/>
          <w:highlight w:val="white"/>
        </w:rPr>
        <w:t>.......................</w:t>
      </w:r>
      <w:r>
        <w:rPr>
          <w:rFonts w:ascii="等线" w:hAnsi="等线"/>
          <w:color w:val="000000"/>
          <w:sz w:val="28"/>
          <w:szCs w:val="28"/>
          <w:highlight w:val="white"/>
        </w:rPr>
        <w:t>....</w:t>
      </w:r>
      <w:r>
        <w:rPr>
          <w:rFonts w:hint="eastAsia" w:ascii="等线" w:hAnsi="等线"/>
          <w:color w:val="000000"/>
          <w:sz w:val="28"/>
          <w:szCs w:val="28"/>
          <w:highlight w:val="white"/>
          <w:lang w:val="en-US" w:eastAsia="zh-CN"/>
        </w:rPr>
        <w:t>.</w:t>
      </w:r>
      <w:r>
        <w:rPr>
          <w:rFonts w:ascii="等线" w:hAnsi="等线"/>
          <w:color w:val="000000"/>
          <w:sz w:val="28"/>
          <w:szCs w:val="28"/>
          <w:highlight w:val="white"/>
        </w:rPr>
        <w:t>......</w:t>
      </w:r>
      <w:r>
        <w:rPr>
          <w:rFonts w:ascii="等线" w:hAnsi="等线"/>
          <w:sz w:val="28"/>
          <w:szCs w:val="28"/>
        </w:rPr>
        <w:t xml:space="preserve">( </w:t>
      </w:r>
      <w:r>
        <w:rPr>
          <w:rFonts w:hint="eastAsia" w:ascii="等线" w:hAnsi="等线"/>
          <w:sz w:val="28"/>
          <w:szCs w:val="28"/>
          <w:lang w:val="en-US" w:eastAsia="zh-CN"/>
        </w:rPr>
        <w:t>6</w:t>
      </w:r>
      <w:r>
        <w:rPr>
          <w:rFonts w:ascii="等线" w:hAnsi="等线"/>
          <w:sz w:val="28"/>
          <w:szCs w:val="28"/>
        </w:rPr>
        <w:t xml:space="preserve"> )</w:t>
      </w:r>
    </w:p>
    <w:p>
      <w:pPr>
        <w:spacing w:line="360" w:lineRule="auto"/>
        <w:ind w:left="420"/>
        <w:jc w:val="left"/>
        <w:rPr>
          <w:rFonts w:ascii="等线" w:hAnsi="等线"/>
          <w:sz w:val="28"/>
          <w:szCs w:val="28"/>
        </w:rPr>
      </w:pPr>
      <w:r>
        <w:rPr>
          <w:rFonts w:ascii="等线" w:hAnsi="等线"/>
          <w:color w:val="000000"/>
          <w:sz w:val="28"/>
          <w:szCs w:val="28"/>
          <w:highlight w:val="white"/>
        </w:rPr>
        <w:t>（十三）预算绩效情况说明...........................</w:t>
      </w:r>
      <w:r>
        <w:rPr>
          <w:rFonts w:hint="eastAsia" w:ascii="等线" w:hAnsi="等线"/>
          <w:color w:val="000000"/>
          <w:sz w:val="28"/>
          <w:szCs w:val="28"/>
          <w:highlight w:val="white"/>
        </w:rPr>
        <w:t>..........................</w:t>
      </w:r>
      <w:r>
        <w:rPr>
          <w:rFonts w:ascii="等线" w:hAnsi="等线"/>
          <w:color w:val="000000"/>
          <w:sz w:val="28"/>
          <w:szCs w:val="28"/>
          <w:highlight w:val="white"/>
        </w:rPr>
        <w:t>.</w:t>
      </w:r>
      <w:r>
        <w:rPr>
          <w:rFonts w:hint="eastAsia" w:ascii="等线" w:hAnsi="等线"/>
          <w:color w:val="000000"/>
          <w:sz w:val="28"/>
          <w:szCs w:val="28"/>
          <w:highlight w:val="white"/>
          <w:lang w:val="en-US" w:eastAsia="zh-CN"/>
        </w:rPr>
        <w:t>.</w:t>
      </w:r>
      <w:r>
        <w:rPr>
          <w:rFonts w:ascii="等线" w:hAnsi="等线"/>
          <w:color w:val="000000"/>
          <w:sz w:val="28"/>
          <w:szCs w:val="28"/>
          <w:highlight w:val="white"/>
        </w:rPr>
        <w:t>..</w:t>
      </w:r>
      <w:r>
        <w:rPr>
          <w:rFonts w:hint="eastAsia" w:ascii="等线" w:hAnsi="等线"/>
          <w:color w:val="000000"/>
          <w:sz w:val="28"/>
          <w:szCs w:val="28"/>
          <w:highlight w:val="white"/>
          <w:lang w:val="en-US" w:eastAsia="zh-CN"/>
        </w:rPr>
        <w:t>.</w:t>
      </w:r>
      <w:r>
        <w:rPr>
          <w:rFonts w:ascii="等线" w:hAnsi="等线"/>
          <w:color w:val="000000"/>
          <w:sz w:val="28"/>
          <w:szCs w:val="28"/>
          <w:highlight w:val="white"/>
        </w:rPr>
        <w:t>.</w:t>
      </w:r>
      <w:r>
        <w:rPr>
          <w:rFonts w:ascii="等线" w:hAnsi="等线"/>
          <w:sz w:val="28"/>
          <w:szCs w:val="28"/>
        </w:rPr>
        <w:t xml:space="preserve">( </w:t>
      </w:r>
      <w:r>
        <w:rPr>
          <w:rFonts w:hint="eastAsia" w:ascii="等线" w:hAnsi="等线"/>
          <w:sz w:val="28"/>
          <w:szCs w:val="28"/>
          <w:lang w:val="en-US" w:eastAsia="zh-CN"/>
        </w:rPr>
        <w:t>6</w:t>
      </w:r>
      <w:r>
        <w:rPr>
          <w:rFonts w:ascii="等线" w:hAnsi="等线"/>
          <w:sz w:val="28"/>
          <w:szCs w:val="28"/>
        </w:rPr>
        <w:t xml:space="preserve"> )</w:t>
      </w:r>
    </w:p>
    <w:p>
      <w:pPr>
        <w:spacing w:line="360" w:lineRule="auto"/>
        <w:jc w:val="left"/>
        <w:rPr>
          <w:rFonts w:ascii="等线" w:hAnsi="等线"/>
          <w:sz w:val="28"/>
          <w:szCs w:val="28"/>
        </w:rPr>
      </w:pPr>
      <w:r>
        <w:rPr>
          <w:rFonts w:ascii="等线" w:hAnsi="等线"/>
          <w:color w:val="000000"/>
          <w:sz w:val="28"/>
          <w:szCs w:val="28"/>
          <w:highlight w:val="white"/>
        </w:rPr>
        <w:t>四、名词解释.........................................</w:t>
      </w:r>
      <w:r>
        <w:rPr>
          <w:rFonts w:hint="eastAsia" w:ascii="等线" w:hAnsi="等线"/>
          <w:color w:val="000000"/>
          <w:sz w:val="28"/>
          <w:szCs w:val="28"/>
          <w:highlight w:val="white"/>
        </w:rPr>
        <w:t>..........................................</w:t>
      </w:r>
      <w:r>
        <w:rPr>
          <w:rFonts w:ascii="等线" w:hAnsi="等线"/>
          <w:color w:val="000000"/>
          <w:sz w:val="28"/>
          <w:szCs w:val="28"/>
          <w:highlight w:val="white"/>
        </w:rPr>
        <w:t>....</w:t>
      </w:r>
      <w:r>
        <w:rPr>
          <w:rFonts w:ascii="等线" w:hAnsi="等线"/>
          <w:sz w:val="28"/>
          <w:szCs w:val="28"/>
        </w:rPr>
        <w:t xml:space="preserve">( </w:t>
      </w:r>
      <w:r>
        <w:rPr>
          <w:rFonts w:hint="eastAsia" w:ascii="等线" w:hAnsi="等线"/>
          <w:sz w:val="28"/>
          <w:szCs w:val="28"/>
          <w:lang w:val="en-US" w:eastAsia="zh-CN"/>
        </w:rPr>
        <w:t>14</w:t>
      </w:r>
      <w:r>
        <w:rPr>
          <w:rFonts w:ascii="等线" w:hAnsi="等线"/>
          <w:sz w:val="28"/>
          <w:szCs w:val="28"/>
        </w:rPr>
        <w:t xml:space="preserve"> )</w:t>
      </w:r>
    </w:p>
    <w:p>
      <w:pPr>
        <w:pStyle w:val="2"/>
        <w:rPr>
          <w:rFonts w:hint="eastAsia"/>
        </w:rPr>
      </w:pPr>
    </w:p>
    <w:p>
      <w:pPr>
        <w:spacing w:line="480" w:lineRule="exact"/>
        <w:ind w:firstLine="600"/>
        <w:rPr>
          <w:rFonts w:hint="eastAsia" w:ascii="黑体" w:hAnsi="黑体" w:eastAsia="黑体"/>
          <w:b/>
          <w:bCs/>
          <w:color w:val="000000"/>
          <w:sz w:val="28"/>
          <w:szCs w:val="28"/>
        </w:rPr>
      </w:pPr>
      <w:r>
        <w:rPr>
          <w:rFonts w:hint="eastAsia" w:ascii="黑体" w:hAnsi="黑体" w:eastAsia="黑体"/>
          <w:b/>
          <w:bCs/>
          <w:color w:val="000000"/>
          <w:sz w:val="28"/>
          <w:szCs w:val="28"/>
        </w:rPr>
        <w:t>一、概况</w:t>
      </w:r>
    </w:p>
    <w:p>
      <w:pPr>
        <w:widowControl w:val="0"/>
        <w:spacing w:line="480" w:lineRule="exact"/>
        <w:ind w:firstLine="594"/>
        <w:rPr>
          <w:rFonts w:hint="eastAsia" w:ascii="楷体" w:hAnsi="楷体" w:eastAsia="楷体"/>
          <w:b/>
          <w:bCs/>
          <w:color w:val="000000"/>
          <w:sz w:val="28"/>
          <w:szCs w:val="28"/>
        </w:rPr>
      </w:pPr>
      <w:r>
        <w:rPr>
          <w:rFonts w:hint="eastAsia" w:ascii="楷体" w:hAnsi="楷体" w:eastAsia="楷体"/>
          <w:b/>
          <w:bCs/>
          <w:color w:val="000000"/>
          <w:sz w:val="28"/>
          <w:szCs w:val="28"/>
        </w:rPr>
        <w:t>（一）单位职责</w:t>
      </w:r>
    </w:p>
    <w:p>
      <w:pPr>
        <w:spacing w:line="480" w:lineRule="exact"/>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1. 为全市生产、流通、消费领域的产商品（含药品）质量提供检验保障，为量值准确检定和标准化研究提供技术保障。</w:t>
      </w:r>
    </w:p>
    <w:p>
      <w:pPr>
        <w:spacing w:line="480" w:lineRule="exact"/>
        <w:ind w:firstLine="594"/>
        <w:rPr>
          <w:rFonts w:ascii="仿宋_GB2312" w:hAnsi="仿宋_GB2312"/>
          <w:sz w:val="28"/>
          <w:szCs w:val="28"/>
        </w:rPr>
      </w:pPr>
      <w:r>
        <w:rPr>
          <w:rFonts w:hint="eastAsia" w:ascii="仿宋" w:hAnsi="仿宋" w:eastAsia="仿宋"/>
          <w:color w:val="000000"/>
          <w:sz w:val="28"/>
          <w:szCs w:val="28"/>
          <w:highlight w:val="white"/>
        </w:rPr>
        <w:t>2. 通过对产商品的质量检验、计量器具检定、药品不良反应和医疗器械不良事件检测及数据管理，为全市企业提高产品竞争力和人民群众的身体健康提供科学的检测依据和技术支撑。</w:t>
      </w:r>
    </w:p>
    <w:p>
      <w:pPr>
        <w:spacing w:line="480" w:lineRule="exact"/>
        <w:ind w:firstLine="594"/>
        <w:rPr>
          <w:b/>
          <w:bCs/>
          <w:color w:val="000000"/>
          <w:sz w:val="28"/>
          <w:szCs w:val="28"/>
        </w:rPr>
      </w:pPr>
      <w:r>
        <w:rPr>
          <w:rFonts w:hint="eastAsia" w:ascii="楷体" w:hAnsi="楷体" w:eastAsia="楷体"/>
          <w:b/>
          <w:bCs/>
          <w:color w:val="000000"/>
          <w:sz w:val="28"/>
          <w:szCs w:val="28"/>
        </w:rPr>
        <w:t>（二）机构设置</w:t>
      </w:r>
    </w:p>
    <w:p>
      <w:pPr>
        <w:spacing w:line="480" w:lineRule="exact"/>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从预算单位构成看，本单位内设：</w:t>
      </w:r>
    </w:p>
    <w:p>
      <w:pPr>
        <w:spacing w:line="480" w:lineRule="exact"/>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 xml:space="preserve"> 办公室。协调本院的日常管理工作。</w:t>
      </w:r>
    </w:p>
    <w:p>
      <w:pPr>
        <w:spacing w:line="480" w:lineRule="exact"/>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 xml:space="preserve"> 计量部。综合管理本院的计量器具检测工作。</w:t>
      </w:r>
    </w:p>
    <w:p>
      <w:pPr>
        <w:spacing w:line="480" w:lineRule="exact"/>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产品检验部。综合管理本院的产商品（含药品）质量检验工作。</w:t>
      </w:r>
    </w:p>
    <w:p>
      <w:pPr>
        <w:spacing w:line="480" w:lineRule="exact"/>
        <w:ind w:firstLine="600"/>
        <w:rPr>
          <w:rFonts w:hint="eastAsia" w:ascii="黑体" w:hAnsi="黑体" w:eastAsia="黑体"/>
          <w:b/>
          <w:bCs/>
          <w:color w:val="000000"/>
          <w:sz w:val="28"/>
          <w:szCs w:val="28"/>
        </w:rPr>
      </w:pPr>
      <w:r>
        <w:rPr>
          <w:rFonts w:hint="eastAsia" w:ascii="黑体" w:hAnsi="黑体" w:eastAsia="黑体"/>
          <w:b/>
          <w:bCs/>
          <w:color w:val="000000"/>
          <w:sz w:val="28"/>
          <w:szCs w:val="28"/>
        </w:rPr>
        <w:t>二、2021年度部门（单位）决算公开表</w:t>
      </w:r>
    </w:p>
    <w:p>
      <w:pPr>
        <w:spacing w:line="480" w:lineRule="exact"/>
        <w:ind w:firstLine="594"/>
        <w:rPr>
          <w:rFonts w:hint="eastAsia"/>
          <w:color w:val="000000"/>
          <w:sz w:val="28"/>
          <w:szCs w:val="28"/>
        </w:rPr>
      </w:pPr>
      <w:r>
        <w:rPr>
          <w:rFonts w:hint="eastAsia" w:ascii="仿宋" w:hAnsi="仿宋" w:eastAsia="仿宋"/>
          <w:color w:val="000000"/>
          <w:sz w:val="28"/>
          <w:szCs w:val="28"/>
        </w:rPr>
        <w:t>详见附表</w:t>
      </w:r>
      <w:r>
        <w:rPr>
          <w:rFonts w:ascii="仿宋_GB2312" w:hAnsi="仿宋_GB2312"/>
          <w:color w:val="000000"/>
          <w:sz w:val="28"/>
          <w:szCs w:val="28"/>
        </w:rPr>
        <w:t>。</w:t>
      </w:r>
    </w:p>
    <w:p>
      <w:pPr>
        <w:spacing w:line="480" w:lineRule="exact"/>
        <w:ind w:firstLine="594"/>
        <w:rPr>
          <w:b/>
          <w:bCs/>
          <w:color w:val="000000"/>
          <w:sz w:val="28"/>
          <w:szCs w:val="28"/>
          <w:highlight w:val="white"/>
        </w:rPr>
      </w:pPr>
      <w:r>
        <w:rPr>
          <w:rFonts w:hint="eastAsia" w:ascii="黑体" w:hAnsi="黑体" w:eastAsia="黑体"/>
          <w:b/>
          <w:bCs/>
          <w:sz w:val="28"/>
          <w:szCs w:val="28"/>
          <w:highlight w:val="white"/>
        </w:rPr>
        <w:t>三、</w:t>
      </w:r>
      <w:r>
        <w:rPr>
          <w:rFonts w:hint="eastAsia" w:ascii="黑体" w:hAnsi="黑体" w:eastAsia="黑体"/>
          <w:b/>
          <w:bCs/>
          <w:color w:val="000000"/>
          <w:sz w:val="28"/>
          <w:szCs w:val="28"/>
          <w:highlight w:val="white"/>
        </w:rPr>
        <w:t>2021年度部门（单位）决算情况说明</w:t>
      </w:r>
    </w:p>
    <w:p>
      <w:pPr>
        <w:spacing w:line="480" w:lineRule="exact"/>
        <w:ind w:firstLine="594"/>
        <w:rPr>
          <w:b/>
          <w:bCs/>
          <w:color w:val="000000"/>
          <w:sz w:val="28"/>
          <w:szCs w:val="28"/>
          <w:highlight w:val="white"/>
        </w:rPr>
      </w:pPr>
      <w:r>
        <w:rPr>
          <w:rFonts w:hint="eastAsia" w:ascii="楷体" w:hAnsi="楷体" w:eastAsia="楷体"/>
          <w:b/>
          <w:bCs/>
          <w:color w:val="000000"/>
          <w:sz w:val="28"/>
          <w:szCs w:val="28"/>
          <w:highlight w:val="white"/>
        </w:rPr>
        <w:t>（一）收入支出决算总体情况说明</w:t>
      </w:r>
    </w:p>
    <w:p>
      <w:pPr>
        <w:spacing w:line="480" w:lineRule="exact"/>
        <w:ind w:firstLine="594"/>
        <w:rPr>
          <w:b/>
          <w:bCs/>
          <w:color w:val="000000"/>
          <w:sz w:val="28"/>
          <w:szCs w:val="28"/>
          <w:highlight w:val="white"/>
        </w:rPr>
      </w:pPr>
      <w:r>
        <w:rPr>
          <w:rFonts w:hint="eastAsia" w:ascii="仿宋" w:hAnsi="仿宋" w:eastAsia="仿宋"/>
          <w:color w:val="000000"/>
          <w:sz w:val="28"/>
          <w:szCs w:val="28"/>
          <w:highlight w:val="white"/>
        </w:rPr>
        <w:t>2021年度收入总计667.20万元，支出总计667.20万元,与2020年度相比，各增加220.53万元，增长49.37%。主要原因是：根据机构改革需要，原兰溪市食品药品质量检测中心于2020年8月份整体并入</w:t>
      </w:r>
      <w:r>
        <w:rPr>
          <w:rFonts w:hint="eastAsia" w:ascii="仿宋" w:hAnsi="仿宋" w:eastAsia="仿宋"/>
          <w:color w:val="000000"/>
          <w:sz w:val="28"/>
          <w:szCs w:val="28"/>
          <w:highlight w:val="white"/>
          <w:lang w:eastAsia="zh-CN"/>
        </w:rPr>
        <w:t>，导致全年收支均大幅增长</w:t>
      </w:r>
      <w:r>
        <w:rPr>
          <w:rFonts w:hint="eastAsia" w:ascii="仿宋" w:hAnsi="仿宋" w:eastAsia="仿宋"/>
          <w:color w:val="000000"/>
          <w:sz w:val="28"/>
          <w:szCs w:val="28"/>
          <w:highlight w:val="white"/>
        </w:rPr>
        <w:t>。</w:t>
      </w:r>
    </w:p>
    <w:p>
      <w:pPr>
        <w:spacing w:line="480" w:lineRule="exact"/>
        <w:ind w:firstLine="594"/>
        <w:rPr>
          <w:b/>
          <w:bCs/>
          <w:color w:val="000000"/>
          <w:sz w:val="28"/>
          <w:szCs w:val="28"/>
          <w:highlight w:val="white"/>
        </w:rPr>
      </w:pPr>
      <w:r>
        <w:rPr>
          <w:rFonts w:hint="eastAsia" w:ascii="楷体" w:hAnsi="楷体" w:eastAsia="楷体"/>
          <w:b/>
          <w:bCs/>
          <w:color w:val="000000"/>
          <w:sz w:val="28"/>
          <w:szCs w:val="28"/>
          <w:highlight w:val="white"/>
        </w:rPr>
        <w:t>（二）收入决算情况说明</w:t>
      </w:r>
    </w:p>
    <w:p>
      <w:pPr>
        <w:spacing w:line="480" w:lineRule="exact"/>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本年收入合计667.20万元；包括财政拨款收入602.78万元（其中，一般公共预算602.78万元，政府性基金预算0万元,国有资本经营预算0万元），占收入合计90.34%；上级补助收入0万元，占收入合计0%；事业收入64.42万元，占收入合计9.66%；经营收入0万元，占收入合计0%；附属单位上缴收入0万元，占收入合计0%；其他收入0万元，占收入合计0%。</w:t>
      </w:r>
    </w:p>
    <w:p>
      <w:pPr>
        <w:spacing w:line="480" w:lineRule="exact"/>
        <w:ind w:firstLine="594"/>
        <w:rPr>
          <w:rFonts w:hint="eastAsia"/>
          <w:b/>
          <w:bCs/>
          <w:color w:val="000000"/>
          <w:sz w:val="28"/>
          <w:szCs w:val="28"/>
          <w:highlight w:val="white"/>
        </w:rPr>
      </w:pPr>
      <w:r>
        <w:rPr>
          <w:rFonts w:hint="eastAsia" w:ascii="楷体" w:hAnsi="楷体" w:eastAsia="楷体"/>
          <w:b/>
          <w:bCs/>
          <w:color w:val="000000"/>
          <w:sz w:val="28"/>
          <w:szCs w:val="28"/>
          <w:highlight w:val="white"/>
        </w:rPr>
        <w:t>（三）支出决算情况说明</w:t>
      </w:r>
    </w:p>
    <w:p>
      <w:pPr>
        <w:spacing w:line="480" w:lineRule="exact"/>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本年支出合计667.20万元，其中基本支出537.47万元，占80.56%；项目支出129.73万元，占19.44%；上缴上级支出</w:t>
      </w:r>
      <w:r>
        <w:rPr>
          <w:rFonts w:hint="eastAsia" w:ascii="仿宋" w:hAnsi="仿宋" w:eastAsia="仿宋"/>
          <w:sz w:val="28"/>
          <w:szCs w:val="28"/>
          <w:highlight w:val="white"/>
        </w:rPr>
        <w:t>0</w:t>
      </w:r>
      <w:r>
        <w:rPr>
          <w:rFonts w:hint="eastAsia" w:ascii="仿宋" w:hAnsi="仿宋" w:eastAsia="仿宋"/>
          <w:color w:val="000000"/>
          <w:sz w:val="28"/>
          <w:szCs w:val="28"/>
          <w:highlight w:val="white"/>
        </w:rPr>
        <w:t>万元，占0%；经营支出0万元，占0%；对附属单位补助支出</w:t>
      </w:r>
      <w:r>
        <w:rPr>
          <w:rFonts w:hint="eastAsia" w:ascii="仿宋" w:hAnsi="仿宋" w:eastAsia="仿宋"/>
          <w:sz w:val="28"/>
          <w:szCs w:val="28"/>
          <w:highlight w:val="white"/>
        </w:rPr>
        <w:t>0</w:t>
      </w:r>
      <w:r>
        <w:rPr>
          <w:rFonts w:hint="eastAsia" w:ascii="仿宋" w:hAnsi="仿宋" w:eastAsia="仿宋"/>
          <w:color w:val="000000"/>
          <w:sz w:val="28"/>
          <w:szCs w:val="28"/>
          <w:highlight w:val="white"/>
        </w:rPr>
        <w:t>万元，占0%。</w:t>
      </w:r>
    </w:p>
    <w:p>
      <w:pPr>
        <w:spacing w:line="480" w:lineRule="exact"/>
        <w:ind w:firstLine="594"/>
        <w:rPr>
          <w:rFonts w:hint="eastAsia" w:ascii="楷体" w:hAnsi="楷体" w:eastAsia="楷体"/>
          <w:b/>
          <w:bCs/>
          <w:color w:val="000000"/>
          <w:sz w:val="28"/>
          <w:szCs w:val="28"/>
          <w:highlight w:val="white"/>
        </w:rPr>
      </w:pPr>
      <w:r>
        <w:rPr>
          <w:rFonts w:hint="eastAsia" w:ascii="楷体" w:hAnsi="楷体" w:eastAsia="楷体"/>
          <w:b/>
          <w:bCs/>
          <w:color w:val="000000"/>
          <w:sz w:val="28"/>
          <w:szCs w:val="28"/>
          <w:highlight w:val="white"/>
        </w:rPr>
        <w:t>（四）财政拨款收入支出决算总体情况说明</w:t>
      </w:r>
    </w:p>
    <w:p>
      <w:pPr>
        <w:spacing w:line="480" w:lineRule="exact"/>
        <w:ind w:firstLine="594"/>
        <w:rPr>
          <w:rFonts w:hint="eastAsia" w:ascii="仿宋" w:hAnsi="仿宋" w:eastAsia="仿宋"/>
          <w:b/>
          <w:bCs/>
          <w:color w:val="000000"/>
          <w:sz w:val="28"/>
          <w:szCs w:val="28"/>
          <w:highlight w:val="white"/>
        </w:rPr>
      </w:pPr>
      <w:r>
        <w:rPr>
          <w:rFonts w:hint="eastAsia" w:ascii="仿宋" w:hAnsi="仿宋" w:eastAsia="仿宋"/>
          <w:color w:val="000000"/>
          <w:sz w:val="28"/>
          <w:szCs w:val="28"/>
          <w:highlight w:val="white"/>
        </w:rPr>
        <w:t>2021年度财政拨款收入总计602.78万元，支出总计602.78万元，与2020年相比，各增加238.26万元，增长65.36%。主要原因是根据机构改革需要，原兰溪市食品药品质量检测中心于2020年8月份整体并入，增加人员经费209.56万元，占财政拨款收入总增长额的87.95%。财政拨款支出年初预算数511.30万元，</w:t>
      </w:r>
      <w:r>
        <w:rPr>
          <w:rFonts w:hint="eastAsia" w:ascii="仿宋" w:hAnsi="仿宋" w:eastAsia="仿宋"/>
          <w:sz w:val="28"/>
          <w:szCs w:val="28"/>
          <w:highlight w:val="white"/>
        </w:rPr>
        <w:t>完成年初预算的</w:t>
      </w:r>
      <w:r>
        <w:rPr>
          <w:rFonts w:hint="eastAsia" w:ascii="仿宋" w:hAnsi="仿宋" w:eastAsia="仿宋"/>
          <w:color w:val="000000"/>
          <w:sz w:val="28"/>
          <w:szCs w:val="28"/>
          <w:highlight w:val="white"/>
        </w:rPr>
        <w:t>117.89%</w:t>
      </w:r>
      <w:r>
        <w:rPr>
          <w:rFonts w:hint="eastAsia" w:ascii="仿宋" w:hAnsi="仿宋" w:eastAsia="仿宋"/>
          <w:sz w:val="28"/>
          <w:szCs w:val="28"/>
          <w:highlight w:val="white"/>
        </w:rPr>
        <w:t>，</w:t>
      </w:r>
      <w:r>
        <w:rPr>
          <w:rFonts w:hint="eastAsia" w:ascii="仿宋" w:hAnsi="仿宋" w:eastAsia="仿宋"/>
          <w:color w:val="000000"/>
          <w:sz w:val="28"/>
          <w:szCs w:val="28"/>
          <w:highlight w:val="white"/>
        </w:rPr>
        <w:t>主要原因：人员工资正常晋升、新招聘3人等因素追加人员经费26.17万元；因计量上等级需要追加检测设备购置经费36.61万元；因清费减负导致事业收入大幅下降而追加机构运行经费28.70万元</w:t>
      </w:r>
      <w:r>
        <w:rPr>
          <w:rFonts w:hint="eastAsia" w:ascii="仿宋" w:hAnsi="仿宋" w:eastAsia="仿宋"/>
          <w:sz w:val="28"/>
          <w:szCs w:val="28"/>
          <w:highlight w:val="white"/>
        </w:rPr>
        <w:t>。</w:t>
      </w:r>
    </w:p>
    <w:p>
      <w:pPr>
        <w:spacing w:line="480" w:lineRule="exact"/>
        <w:ind w:firstLine="594"/>
        <w:rPr>
          <w:rFonts w:hint="eastAsia"/>
          <w:b/>
          <w:bCs/>
          <w:color w:val="000000"/>
          <w:sz w:val="28"/>
          <w:szCs w:val="28"/>
          <w:highlight w:val="white"/>
        </w:rPr>
      </w:pPr>
      <w:r>
        <w:rPr>
          <w:rFonts w:hint="eastAsia" w:ascii="楷体" w:hAnsi="楷体" w:eastAsia="楷体"/>
          <w:b/>
          <w:bCs/>
          <w:color w:val="000000"/>
          <w:sz w:val="28"/>
          <w:szCs w:val="28"/>
          <w:highlight w:val="white"/>
        </w:rPr>
        <w:t>（五）一般公共预算财政拨款支出决算情况说明</w:t>
      </w:r>
    </w:p>
    <w:p>
      <w:pPr>
        <w:spacing w:line="480" w:lineRule="exact"/>
        <w:ind w:firstLine="606"/>
        <w:rPr>
          <w:rFonts w:ascii="仿宋" w:hAnsi="仿宋" w:eastAsia="仿宋"/>
          <w:color w:val="000000"/>
          <w:sz w:val="28"/>
          <w:szCs w:val="28"/>
          <w:highlight w:val="white"/>
        </w:rPr>
      </w:pPr>
      <w:r>
        <w:rPr>
          <w:rFonts w:hint="eastAsia" w:ascii="仿宋" w:hAnsi="仿宋" w:eastAsia="仿宋"/>
          <w:b/>
          <w:bCs/>
          <w:color w:val="000000"/>
          <w:sz w:val="28"/>
          <w:szCs w:val="28"/>
          <w:highlight w:val="white"/>
        </w:rPr>
        <w:t>1.一般公共预算财政拨款支出决算总体情况。</w:t>
      </w:r>
    </w:p>
    <w:p>
      <w:pPr>
        <w:spacing w:line="480" w:lineRule="exact"/>
        <w:ind w:firstLine="606"/>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2021年度一般公共预算财政拨款支出602.78万元，占本年支出合计的90.34%。与2020年相比，一般公共预算财政拨款支出增加238.26万元，增长65.36%。主要原因是根据机构改革需要，原兰溪市食品药品质量检测中心于2020年8月份整体并入，</w:t>
      </w:r>
      <w:r>
        <w:rPr>
          <w:rFonts w:hint="eastAsia" w:ascii="仿宋" w:hAnsi="仿宋" w:eastAsia="仿宋"/>
          <w:color w:val="000000"/>
          <w:sz w:val="28"/>
          <w:szCs w:val="28"/>
          <w:highlight w:val="white"/>
          <w:lang w:eastAsia="zh-CN"/>
        </w:rPr>
        <w:t>导致</w:t>
      </w:r>
      <w:r>
        <w:rPr>
          <w:rFonts w:hint="eastAsia" w:ascii="仿宋" w:hAnsi="仿宋" w:eastAsia="仿宋"/>
          <w:color w:val="000000"/>
          <w:sz w:val="28"/>
          <w:szCs w:val="28"/>
          <w:highlight w:val="white"/>
        </w:rPr>
        <w:t>人员经费</w:t>
      </w:r>
      <w:r>
        <w:rPr>
          <w:rFonts w:hint="eastAsia" w:ascii="仿宋" w:hAnsi="仿宋" w:eastAsia="仿宋"/>
          <w:color w:val="000000"/>
          <w:sz w:val="28"/>
          <w:szCs w:val="28"/>
          <w:highlight w:val="white"/>
          <w:lang w:eastAsia="zh-CN"/>
        </w:rPr>
        <w:t>和日常公用经费收支整体增长。其中</w:t>
      </w:r>
      <w:r>
        <w:rPr>
          <w:rFonts w:hint="eastAsia" w:ascii="仿宋" w:hAnsi="仿宋" w:eastAsia="仿宋"/>
          <w:color w:val="000000"/>
          <w:sz w:val="28"/>
          <w:szCs w:val="28"/>
          <w:highlight w:val="white"/>
        </w:rPr>
        <w:t>人员经费</w:t>
      </w:r>
      <w:r>
        <w:rPr>
          <w:rFonts w:hint="eastAsia" w:ascii="仿宋" w:hAnsi="仿宋" w:eastAsia="仿宋"/>
          <w:color w:val="000000"/>
          <w:sz w:val="28"/>
          <w:szCs w:val="28"/>
          <w:highlight w:val="white"/>
          <w:lang w:eastAsia="zh-CN"/>
        </w:rPr>
        <w:t>增加</w:t>
      </w:r>
      <w:r>
        <w:rPr>
          <w:rFonts w:hint="eastAsia" w:ascii="仿宋" w:hAnsi="仿宋" w:eastAsia="仿宋"/>
          <w:color w:val="000000"/>
          <w:sz w:val="28"/>
          <w:szCs w:val="28"/>
          <w:highlight w:val="white"/>
        </w:rPr>
        <w:t>209.56万元，占财政拨款收入总增长额的87.95%。</w:t>
      </w:r>
    </w:p>
    <w:p>
      <w:pPr>
        <w:spacing w:line="480" w:lineRule="exact"/>
        <w:ind w:firstLine="606"/>
        <w:rPr>
          <w:rFonts w:hint="eastAsia" w:ascii="仿宋" w:hAnsi="仿宋" w:eastAsia="仿宋"/>
          <w:color w:val="000000"/>
          <w:sz w:val="28"/>
          <w:szCs w:val="28"/>
          <w:highlight w:val="white"/>
        </w:rPr>
      </w:pPr>
      <w:r>
        <w:rPr>
          <w:rFonts w:hint="eastAsia" w:ascii="仿宋" w:hAnsi="仿宋" w:eastAsia="仿宋"/>
          <w:b/>
          <w:bCs/>
          <w:color w:val="000000"/>
          <w:sz w:val="28"/>
          <w:szCs w:val="28"/>
          <w:highlight w:val="white"/>
        </w:rPr>
        <w:t>2.一般公共预算财政拨款支出决算结构情况。</w:t>
      </w:r>
    </w:p>
    <w:p>
      <w:pPr>
        <w:widowControl w:val="0"/>
        <w:spacing w:line="480" w:lineRule="exact"/>
        <w:ind w:firstLine="606"/>
        <w:rPr>
          <w:rFonts w:hint="eastAsia" w:ascii="仿宋" w:hAnsi="仿宋" w:eastAsia="仿宋"/>
          <w:b/>
          <w:bCs/>
          <w:color w:val="000000"/>
          <w:sz w:val="28"/>
          <w:szCs w:val="28"/>
          <w:highlight w:val="white"/>
        </w:rPr>
      </w:pPr>
      <w:r>
        <w:rPr>
          <w:rFonts w:hint="eastAsia" w:ascii="仿宋" w:hAnsi="仿宋" w:eastAsia="仿宋"/>
          <w:color w:val="000000"/>
          <w:sz w:val="28"/>
          <w:szCs w:val="28"/>
          <w:highlight w:val="white"/>
        </w:rPr>
        <w:t>2021年度一般公共预算财政拨款支出602.78万元，主要用于以下方面：一般公共服务（类）支出589.86万元，占97.86%；国防（类）支出0万元,占0%；公共安全（类）支出0万元,占0%；教育（类）支出0万元,占0%；科学技术（类）支出0万元,占0%；文化旅游体育与传媒（类）支出0万元,占0%；社会保障和就业（类）支出0万元,占0%；卫生健康（类）支出12.92万元,占2.14%；节能环保（类）支出0万元,占0%；城乡社区（类）支出0万元,占0%；农林水（类）支出0万元,占0%；交通运输（类）支出0万元,占0%；资源勘探工业信息等（类）支出0万元,占0%；商业服务业等（类）支出0万元,占0%；金融（类）支出0万元,占0%；援助其他地区（类）支出0万元,占0%；自然资源海洋气象等（类）支出0万元,占0%；住房保障（类）支出0万元,占0%；粮油物资储备（类）支出0万元,占0%；灾害防治及应急管理（类）支出0万元,占0%；其他（类）支出0万元,占0%；债务还本（类）支出0万元,占0%；债务付息（类）支出0万元,占0%。</w:t>
      </w:r>
    </w:p>
    <w:p>
      <w:pPr>
        <w:spacing w:line="480" w:lineRule="exact"/>
        <w:ind w:firstLine="606"/>
        <w:rPr>
          <w:rFonts w:hint="eastAsia" w:ascii="仿宋" w:hAnsi="仿宋" w:eastAsia="仿宋"/>
          <w:color w:val="000000"/>
          <w:sz w:val="28"/>
          <w:szCs w:val="28"/>
          <w:highlight w:val="white"/>
        </w:rPr>
      </w:pPr>
      <w:r>
        <w:rPr>
          <w:rFonts w:hint="eastAsia" w:ascii="仿宋" w:hAnsi="仿宋" w:eastAsia="仿宋"/>
          <w:b/>
          <w:bCs/>
          <w:color w:val="000000"/>
          <w:sz w:val="28"/>
          <w:szCs w:val="28"/>
          <w:highlight w:val="white"/>
        </w:rPr>
        <w:t>3.一般公共预算财政拨款支出决算具体情况。</w:t>
      </w:r>
    </w:p>
    <w:p>
      <w:pPr>
        <w:spacing w:line="480" w:lineRule="exact"/>
        <w:ind w:firstLine="594"/>
        <w:rPr>
          <w:rFonts w:hint="eastAsia" w:ascii="仿宋" w:hAnsi="仿宋" w:eastAsia="仿宋"/>
          <w:color w:val="000000"/>
          <w:sz w:val="28"/>
          <w:szCs w:val="28"/>
          <w:highlight w:val="white"/>
        </w:rPr>
      </w:pPr>
      <w:r>
        <w:rPr>
          <w:rFonts w:hint="eastAsia" w:ascii="仿宋" w:hAnsi="仿宋" w:eastAsia="仿宋"/>
          <w:sz w:val="28"/>
          <w:szCs w:val="28"/>
          <w:highlight w:val="white"/>
        </w:rPr>
        <w:t>2021年度</w:t>
      </w:r>
      <w:r>
        <w:rPr>
          <w:rFonts w:hint="eastAsia" w:ascii="仿宋" w:hAnsi="仿宋" w:eastAsia="仿宋"/>
          <w:color w:val="000000"/>
          <w:sz w:val="28"/>
          <w:szCs w:val="28"/>
          <w:highlight w:val="white"/>
        </w:rPr>
        <w:t>一般公共预算</w:t>
      </w:r>
      <w:r>
        <w:rPr>
          <w:rFonts w:hint="eastAsia" w:ascii="仿宋" w:hAnsi="仿宋" w:eastAsia="仿宋"/>
          <w:sz w:val="28"/>
          <w:szCs w:val="28"/>
          <w:highlight w:val="white"/>
        </w:rPr>
        <w:t>财政拨款支出年初预算为</w:t>
      </w:r>
      <w:r>
        <w:rPr>
          <w:rFonts w:hint="eastAsia" w:ascii="仿宋" w:hAnsi="仿宋" w:eastAsia="仿宋"/>
          <w:color w:val="000000"/>
          <w:sz w:val="28"/>
          <w:szCs w:val="28"/>
          <w:highlight w:val="white"/>
        </w:rPr>
        <w:t>511.30</w:t>
      </w:r>
      <w:r>
        <w:rPr>
          <w:rFonts w:hint="eastAsia" w:ascii="仿宋" w:hAnsi="仿宋" w:eastAsia="仿宋"/>
          <w:sz w:val="28"/>
          <w:szCs w:val="28"/>
          <w:highlight w:val="white"/>
        </w:rPr>
        <w:t>万元，支出决算为</w:t>
      </w:r>
      <w:r>
        <w:rPr>
          <w:rFonts w:hint="eastAsia" w:ascii="仿宋" w:hAnsi="仿宋" w:eastAsia="仿宋"/>
          <w:color w:val="000000"/>
          <w:sz w:val="28"/>
          <w:szCs w:val="28"/>
          <w:highlight w:val="white"/>
        </w:rPr>
        <w:t>602.78万元</w:t>
      </w:r>
      <w:r>
        <w:rPr>
          <w:rFonts w:hint="eastAsia" w:ascii="仿宋" w:hAnsi="仿宋" w:eastAsia="仿宋"/>
          <w:sz w:val="28"/>
          <w:szCs w:val="28"/>
          <w:highlight w:val="white"/>
        </w:rPr>
        <w:t>,完成年初预算的</w:t>
      </w:r>
      <w:r>
        <w:rPr>
          <w:rFonts w:hint="eastAsia" w:ascii="仿宋" w:hAnsi="仿宋" w:eastAsia="仿宋"/>
          <w:color w:val="000000"/>
          <w:sz w:val="28"/>
          <w:szCs w:val="28"/>
          <w:highlight w:val="white"/>
        </w:rPr>
        <w:t>117.89%</w:t>
      </w:r>
      <w:r>
        <w:rPr>
          <w:rFonts w:hint="eastAsia" w:ascii="仿宋" w:hAnsi="仿宋" w:eastAsia="仿宋"/>
          <w:sz w:val="28"/>
          <w:szCs w:val="28"/>
          <w:highlight w:val="white"/>
        </w:rPr>
        <w:t>，</w:t>
      </w:r>
      <w:r>
        <w:rPr>
          <w:rFonts w:hint="eastAsia" w:ascii="仿宋" w:hAnsi="仿宋" w:eastAsia="仿宋"/>
          <w:color w:val="000000"/>
          <w:sz w:val="28"/>
          <w:szCs w:val="28"/>
          <w:highlight w:val="white"/>
        </w:rPr>
        <w:t>主要原因：人员工资正常晋升、新招聘3人等追加人员经费26.17万元；因计量上等级需要追加检测设备购置经费36.61万元；因清费减负导致事业收入大幅下降而追加机构运行经费28.70万元</w:t>
      </w:r>
      <w:r>
        <w:rPr>
          <w:rFonts w:hint="eastAsia" w:ascii="仿宋" w:hAnsi="仿宋" w:eastAsia="仿宋"/>
          <w:sz w:val="28"/>
          <w:szCs w:val="28"/>
          <w:highlight w:val="white"/>
        </w:rPr>
        <w:t>。</w:t>
      </w:r>
      <w:r>
        <w:rPr>
          <w:rFonts w:hint="eastAsia" w:ascii="仿宋" w:hAnsi="仿宋" w:eastAsia="仿宋"/>
          <w:color w:val="000000"/>
          <w:sz w:val="28"/>
          <w:szCs w:val="28"/>
          <w:highlight w:val="white"/>
        </w:rPr>
        <w:t>其中：</w:t>
      </w:r>
    </w:p>
    <w:p>
      <w:pPr>
        <w:spacing w:line="480" w:lineRule="exact"/>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2013850事业运行。年初预算为511.30万元，支出决算为537.47万元，完成年初预算的105.12%，决算数大于预算数的主要原因：人员工资正常晋升、新招聘3人等因素追加人员经费26.17万元。</w:t>
      </w:r>
    </w:p>
    <w:p>
      <w:pPr>
        <w:spacing w:line="480" w:lineRule="exact"/>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2013899其它市场监督管理事务。年初预算为0万元，支出决算为65.31万元，比年初预算增加65.31万元，决算数大于预算数的主要原因：因计量上等级需要追加检测设备购置经费36.61万元；因清费减负导致事业收入大幅下降而追加机构运行经费28.70万元。</w:t>
      </w:r>
    </w:p>
    <w:p>
      <w:pPr>
        <w:spacing w:line="480" w:lineRule="exact"/>
        <w:ind w:firstLine="594"/>
        <w:rPr>
          <w:rFonts w:hint="eastAsia"/>
          <w:color w:val="000000"/>
          <w:sz w:val="28"/>
          <w:szCs w:val="28"/>
          <w:highlight w:val="white"/>
        </w:rPr>
      </w:pPr>
      <w:r>
        <w:rPr>
          <w:rFonts w:hint="eastAsia" w:ascii="楷体" w:hAnsi="楷体" w:eastAsia="楷体"/>
          <w:b/>
          <w:bCs/>
          <w:color w:val="000000"/>
          <w:sz w:val="28"/>
          <w:szCs w:val="28"/>
          <w:highlight w:val="white"/>
        </w:rPr>
        <w:t>（六）一般公共预算财政拨款基本支出决算情况说明</w:t>
      </w:r>
    </w:p>
    <w:p>
      <w:pPr>
        <w:spacing w:line="480" w:lineRule="exact"/>
        <w:ind w:firstLine="594"/>
        <w:rPr>
          <w:rFonts w:ascii="仿宋" w:hAnsi="仿宋" w:eastAsia="仿宋"/>
          <w:color w:val="000000"/>
          <w:sz w:val="28"/>
          <w:szCs w:val="28"/>
          <w:highlight w:val="white"/>
        </w:rPr>
      </w:pPr>
      <w:r>
        <w:rPr>
          <w:rFonts w:hint="eastAsia" w:ascii="仿宋" w:hAnsi="仿宋" w:eastAsia="仿宋"/>
          <w:color w:val="000000"/>
          <w:sz w:val="28"/>
          <w:szCs w:val="28"/>
          <w:highlight w:val="white"/>
        </w:rPr>
        <w:t>2021年度一般公共预算财政拨款基本支出537.47万元，其中：</w:t>
      </w:r>
    </w:p>
    <w:p>
      <w:pPr>
        <w:widowControl w:val="0"/>
        <w:spacing w:line="480" w:lineRule="exact"/>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人员经费514.41万元，主要包括：</w:t>
      </w:r>
      <w:r>
        <w:rPr>
          <w:rFonts w:hint="eastAsia" w:ascii="仿宋" w:hAnsi="仿宋" w:eastAsia="仿宋"/>
          <w:color w:val="000000"/>
          <w:sz w:val="28"/>
          <w:szCs w:val="28"/>
        </w:rPr>
        <w:t>基本工资、津贴补贴、奖金、伙食补助费、机关事业单位基本养老保险缴费、职业年金缴费、其它社会保险缴费、住房公积金、其它工资福利支出、对个人和家庭的补助等</w:t>
      </w:r>
      <w:r>
        <w:rPr>
          <w:rFonts w:hint="eastAsia" w:ascii="仿宋" w:hAnsi="仿宋" w:eastAsia="仿宋"/>
          <w:color w:val="000000"/>
          <w:sz w:val="28"/>
          <w:szCs w:val="28"/>
          <w:highlight w:val="white"/>
        </w:rPr>
        <w:t>。</w:t>
      </w:r>
    </w:p>
    <w:p>
      <w:pPr>
        <w:spacing w:line="480" w:lineRule="exact"/>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公用经费23.06万元，主要包括：办公费、邮电费、差旅费、培训费、公务接待费、工会经费、福利费、公务用车运行维护费、其它商品和服务支出、办公设备购置等。</w:t>
      </w:r>
    </w:p>
    <w:p>
      <w:pPr>
        <w:numPr>
          <w:ilvl w:val="0"/>
          <w:numId w:val="1"/>
        </w:numPr>
        <w:spacing w:line="480" w:lineRule="exact"/>
        <w:ind w:firstLine="594"/>
        <w:rPr>
          <w:rFonts w:hint="eastAsia" w:ascii="楷体" w:hAnsi="楷体" w:eastAsia="楷体"/>
          <w:b/>
          <w:bCs/>
          <w:color w:val="000000"/>
          <w:sz w:val="28"/>
          <w:szCs w:val="28"/>
        </w:rPr>
      </w:pPr>
      <w:r>
        <w:rPr>
          <w:rFonts w:hint="eastAsia" w:ascii="楷体" w:hAnsi="楷体" w:eastAsia="楷体"/>
          <w:b/>
          <w:bCs/>
          <w:color w:val="000000"/>
          <w:sz w:val="28"/>
          <w:szCs w:val="28"/>
        </w:rPr>
        <w:t>政府性基金预算财政拨款支出决算总体情况说明</w:t>
      </w:r>
    </w:p>
    <w:p>
      <w:pPr>
        <w:spacing w:line="480" w:lineRule="exact"/>
        <w:ind w:firstLine="594"/>
        <w:rPr>
          <w:rFonts w:hint="eastAsia" w:ascii="仿宋" w:hAnsi="仿宋" w:eastAsia="仿宋"/>
          <w:color w:val="000000"/>
          <w:sz w:val="28"/>
          <w:szCs w:val="28"/>
        </w:rPr>
      </w:pPr>
      <w:r>
        <w:rPr>
          <w:rFonts w:hint="eastAsia" w:ascii="仿宋" w:hAnsi="仿宋" w:eastAsia="仿宋"/>
          <w:sz w:val="28"/>
          <w:szCs w:val="28"/>
        </w:rPr>
        <w:t>本单位202</w:t>
      </w:r>
      <w:r>
        <w:rPr>
          <w:rFonts w:hint="eastAsia" w:ascii="仿宋" w:hAnsi="仿宋" w:eastAsia="仿宋"/>
          <w:sz w:val="28"/>
          <w:szCs w:val="28"/>
          <w:lang w:val="en-US" w:eastAsia="zh-CN"/>
        </w:rPr>
        <w:t>1</w:t>
      </w:r>
      <w:r>
        <w:rPr>
          <w:rFonts w:hint="eastAsia" w:ascii="仿宋" w:hAnsi="仿宋" w:eastAsia="仿宋"/>
          <w:sz w:val="28"/>
          <w:szCs w:val="28"/>
        </w:rPr>
        <w:t>年度和202</w:t>
      </w:r>
      <w:r>
        <w:rPr>
          <w:rFonts w:hint="eastAsia" w:ascii="仿宋" w:hAnsi="仿宋" w:eastAsia="仿宋"/>
          <w:sz w:val="28"/>
          <w:szCs w:val="28"/>
          <w:lang w:val="en-US" w:eastAsia="zh-CN"/>
        </w:rPr>
        <w:t>0</w:t>
      </w:r>
      <w:r>
        <w:rPr>
          <w:rFonts w:hint="eastAsia" w:ascii="仿宋" w:hAnsi="仿宋" w:eastAsia="仿宋"/>
          <w:sz w:val="28"/>
          <w:szCs w:val="28"/>
        </w:rPr>
        <w:t>年度均无政府性基金预算财政拨款收支安排，故无相关数据。</w:t>
      </w:r>
    </w:p>
    <w:p>
      <w:pPr>
        <w:numPr>
          <w:ilvl w:val="0"/>
          <w:numId w:val="1"/>
        </w:numPr>
        <w:spacing w:line="480" w:lineRule="exact"/>
        <w:ind w:firstLine="594"/>
        <w:rPr>
          <w:rFonts w:hint="eastAsia" w:ascii="楷体" w:hAnsi="楷体" w:eastAsia="楷体"/>
          <w:b/>
          <w:bCs/>
          <w:color w:val="000000"/>
          <w:sz w:val="28"/>
          <w:szCs w:val="28"/>
        </w:rPr>
      </w:pPr>
      <w:r>
        <w:rPr>
          <w:rFonts w:hint="eastAsia" w:ascii="楷体" w:hAnsi="楷体" w:eastAsia="楷体"/>
          <w:b/>
          <w:bCs/>
          <w:color w:val="000000"/>
          <w:sz w:val="28"/>
          <w:szCs w:val="28"/>
        </w:rPr>
        <w:t>国有资本经营预算财政拨款支出决算总体情况说明</w:t>
      </w:r>
      <w:bookmarkStart w:id="0" w:name="_GoBack"/>
      <w:bookmarkEnd w:id="0"/>
    </w:p>
    <w:p>
      <w:pPr>
        <w:spacing w:line="480" w:lineRule="exact"/>
        <w:ind w:firstLine="560" w:firstLineChars="200"/>
        <w:rPr>
          <w:rFonts w:hint="eastAsia" w:ascii="仿宋" w:hAnsi="仿宋" w:eastAsia="仿宋"/>
          <w:b/>
          <w:bCs/>
          <w:sz w:val="28"/>
          <w:szCs w:val="28"/>
          <w:u w:val="single"/>
        </w:rPr>
      </w:pPr>
      <w:r>
        <w:rPr>
          <w:rFonts w:hint="eastAsia" w:ascii="仿宋" w:hAnsi="仿宋" w:eastAsia="仿宋"/>
          <w:sz w:val="28"/>
          <w:szCs w:val="28"/>
        </w:rPr>
        <w:t>本单位2021年度无国有资本经营预算财政拨款收支安排，故无相关数据。</w:t>
      </w:r>
    </w:p>
    <w:p>
      <w:pPr>
        <w:spacing w:line="480" w:lineRule="exact"/>
        <w:ind w:firstLine="594"/>
        <w:rPr>
          <w:rFonts w:hint="eastAsia" w:ascii="仿宋" w:hAnsi="仿宋" w:eastAsia="仿宋"/>
          <w:b/>
          <w:bCs/>
          <w:sz w:val="28"/>
          <w:szCs w:val="28"/>
          <w:highlight w:val="white"/>
          <w:u w:val="single"/>
        </w:rPr>
      </w:pPr>
      <w:r>
        <w:rPr>
          <w:rFonts w:hint="eastAsia" w:ascii="楷体" w:hAnsi="楷体" w:eastAsia="楷体"/>
          <w:b/>
          <w:bCs/>
          <w:color w:val="000000"/>
          <w:sz w:val="28"/>
          <w:szCs w:val="28"/>
          <w:highlight w:val="white"/>
        </w:rPr>
        <w:t>（九）一般公共预算财政拨款“三公”经费支出决算情况说明</w:t>
      </w:r>
    </w:p>
    <w:p>
      <w:pPr>
        <w:spacing w:line="480" w:lineRule="exact"/>
        <w:ind w:firstLine="594"/>
        <w:rPr>
          <w:rFonts w:hint="eastAsia" w:ascii="仿宋" w:hAnsi="仿宋" w:eastAsia="仿宋"/>
          <w:b/>
          <w:bCs/>
          <w:color w:val="000000"/>
          <w:sz w:val="28"/>
          <w:szCs w:val="28"/>
          <w:highlight w:val="white"/>
        </w:rPr>
      </w:pPr>
      <w:r>
        <w:rPr>
          <w:rFonts w:hint="eastAsia" w:ascii="仿宋" w:hAnsi="仿宋" w:eastAsia="仿宋"/>
          <w:b/>
          <w:bCs/>
          <w:color w:val="000000"/>
          <w:sz w:val="28"/>
          <w:szCs w:val="28"/>
          <w:highlight w:val="white"/>
        </w:rPr>
        <w:t xml:space="preserve">1.“三公”经费一般公共预算财政拨款支出决算总体情况说明。 </w:t>
      </w:r>
    </w:p>
    <w:p>
      <w:pPr>
        <w:spacing w:line="480" w:lineRule="exact"/>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2021年度“三公”经费一般公共预算财政拨款支出预算为5.50万元，支出决算为4.45万元，完成预算的80.82%,2021年度“三公”经费支出决算数小于预算数的主要原因是</w:t>
      </w:r>
      <w:r>
        <w:rPr>
          <w:rFonts w:hint="eastAsia" w:ascii="仿宋" w:hAnsi="仿宋" w:eastAsia="仿宋"/>
          <w:color w:val="000000"/>
          <w:sz w:val="28"/>
          <w:szCs w:val="28"/>
          <w:highlight w:val="white"/>
          <w:lang w:eastAsia="zh-CN"/>
        </w:rPr>
        <w:t>严格控制</w:t>
      </w:r>
      <w:r>
        <w:rPr>
          <w:rFonts w:hint="eastAsia" w:ascii="仿宋" w:hAnsi="仿宋" w:eastAsia="仿宋"/>
          <w:color w:val="000000"/>
          <w:sz w:val="28"/>
          <w:szCs w:val="28"/>
          <w:highlight w:val="white"/>
        </w:rPr>
        <w:t>公务接待</w:t>
      </w:r>
      <w:r>
        <w:rPr>
          <w:rFonts w:hint="eastAsia" w:ascii="仿宋" w:hAnsi="仿宋" w:eastAsia="仿宋"/>
          <w:color w:val="000000"/>
          <w:sz w:val="28"/>
          <w:szCs w:val="28"/>
          <w:highlight w:val="white"/>
          <w:lang w:eastAsia="zh-CN"/>
        </w:rPr>
        <w:t>费用开支，导致公务接待支出</w:t>
      </w:r>
      <w:r>
        <w:rPr>
          <w:rFonts w:hint="eastAsia" w:ascii="仿宋" w:hAnsi="仿宋" w:eastAsia="仿宋"/>
          <w:color w:val="000000"/>
          <w:sz w:val="28"/>
          <w:szCs w:val="28"/>
          <w:highlight w:val="white"/>
        </w:rPr>
        <w:t>决算</w:t>
      </w:r>
      <w:r>
        <w:rPr>
          <w:rFonts w:hint="eastAsia" w:ascii="仿宋" w:hAnsi="仿宋" w:eastAsia="仿宋"/>
          <w:color w:val="000000"/>
          <w:sz w:val="28"/>
          <w:szCs w:val="28"/>
          <w:highlight w:val="white"/>
          <w:lang w:eastAsia="zh-CN"/>
        </w:rPr>
        <w:t>仅</w:t>
      </w:r>
      <w:r>
        <w:rPr>
          <w:rFonts w:hint="eastAsia" w:ascii="仿宋" w:hAnsi="仿宋" w:eastAsia="仿宋"/>
          <w:color w:val="000000"/>
          <w:sz w:val="28"/>
          <w:szCs w:val="28"/>
          <w:highlight w:val="white"/>
        </w:rPr>
        <w:t>完成预算数的29.67%。</w:t>
      </w:r>
    </w:p>
    <w:p>
      <w:pPr>
        <w:spacing w:line="480" w:lineRule="exact"/>
        <w:ind w:firstLine="594"/>
        <w:rPr>
          <w:rFonts w:hint="eastAsia" w:ascii="仿宋" w:hAnsi="仿宋" w:eastAsia="仿宋"/>
          <w:b/>
          <w:bCs/>
          <w:color w:val="000000"/>
          <w:sz w:val="28"/>
          <w:szCs w:val="28"/>
          <w:highlight w:val="white"/>
        </w:rPr>
      </w:pPr>
      <w:r>
        <w:rPr>
          <w:rFonts w:hint="eastAsia" w:ascii="仿宋" w:hAnsi="仿宋" w:eastAsia="仿宋"/>
          <w:b/>
          <w:bCs/>
          <w:color w:val="000000"/>
          <w:sz w:val="28"/>
          <w:szCs w:val="28"/>
          <w:highlight w:val="white"/>
        </w:rPr>
        <w:t>2.“三公”经费一般公共预算财政拨款支出决算具体情况说明。</w:t>
      </w:r>
    </w:p>
    <w:p>
      <w:pPr>
        <w:spacing w:line="480" w:lineRule="exact"/>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2021年度“三公”经费一般公共预算财政拨款支出决算中，因公出国（境）费用支出决算为0万元，占0%，与2019年度相比，增加0万元，增长0%，主要原因是2020年、2021年都没有安排出国（境）业务；公务用车购置及运行维护费支出决算为4.00万元，占89.99%，与2020年度相比，增加2.22万元，增长124.72%，主要原因是根据机构改革需要，原兰溪市食品药品质量检测中心于2020年8月份整体并入，公务用车运行维护费</w:t>
      </w:r>
      <w:r>
        <w:rPr>
          <w:rFonts w:hint="eastAsia" w:ascii="仿宋" w:hAnsi="仿宋" w:eastAsia="仿宋"/>
          <w:color w:val="000000"/>
          <w:sz w:val="28"/>
          <w:szCs w:val="28"/>
          <w:highlight w:val="white"/>
          <w:lang w:eastAsia="zh-CN"/>
        </w:rPr>
        <w:t>开支</w:t>
      </w:r>
      <w:r>
        <w:rPr>
          <w:rFonts w:hint="eastAsia" w:ascii="仿宋" w:hAnsi="仿宋" w:eastAsia="仿宋"/>
          <w:color w:val="000000"/>
          <w:sz w:val="28"/>
          <w:szCs w:val="28"/>
          <w:highlight w:val="white"/>
        </w:rPr>
        <w:t>增加；公务接待费支出决算为0.45万元，占10.01%，与2020年度相比，减少0.46万元，下降50.82%，主要原因是2021年计量、质检等考核项目大幅减少，接待费用开支下降。具体情况如下：</w:t>
      </w:r>
    </w:p>
    <w:p>
      <w:pPr>
        <w:widowControl w:val="0"/>
        <w:spacing w:line="480" w:lineRule="exact"/>
        <w:ind w:firstLine="594"/>
        <w:rPr>
          <w:rFonts w:hint="eastAsia" w:ascii="仿宋" w:hAnsi="仿宋" w:eastAsia="仿宋"/>
          <w:color w:val="000000"/>
          <w:sz w:val="28"/>
          <w:szCs w:val="28"/>
          <w:highlight w:val="white"/>
        </w:rPr>
      </w:pPr>
      <w:r>
        <w:rPr>
          <w:rFonts w:hint="eastAsia" w:ascii="仿宋" w:hAnsi="仿宋" w:eastAsia="仿宋"/>
          <w:b/>
          <w:bCs/>
          <w:color w:val="000000"/>
          <w:sz w:val="28"/>
          <w:szCs w:val="28"/>
          <w:highlight w:val="white"/>
        </w:rPr>
        <w:t>（1）因公出国（境）费</w:t>
      </w:r>
      <w:r>
        <w:rPr>
          <w:rFonts w:hint="eastAsia" w:ascii="仿宋" w:hAnsi="仿宋" w:eastAsia="仿宋"/>
          <w:color w:val="000000"/>
          <w:sz w:val="28"/>
          <w:szCs w:val="28"/>
          <w:highlight w:val="white"/>
        </w:rPr>
        <w:t>预算数为0万元，支出决算为0万元。完成预算的0%。主要用于机关及下属预算单位人员的学习、考察等公务出国（境）的住宿费、国际旅费、培训费、公杂费等支出。决算数与预算数都是0的主要原因是：2021年没有安排公务出国（境）业务。全年使用一般公共预算财政拨款支出涉及因公出国(境)团组0个；累计0人次。开支内容：无。</w:t>
      </w:r>
    </w:p>
    <w:p>
      <w:pPr>
        <w:spacing w:line="480" w:lineRule="exact"/>
        <w:ind w:firstLine="594"/>
        <w:rPr>
          <w:rFonts w:hint="eastAsia" w:ascii="仿宋" w:hAnsi="仿宋" w:eastAsia="仿宋"/>
          <w:color w:val="000000"/>
          <w:sz w:val="28"/>
          <w:szCs w:val="28"/>
          <w:highlight w:val="white"/>
        </w:rPr>
      </w:pPr>
      <w:r>
        <w:rPr>
          <w:rFonts w:hint="eastAsia" w:ascii="仿宋" w:hAnsi="仿宋" w:eastAsia="仿宋"/>
          <w:b/>
          <w:bCs/>
          <w:color w:val="000000"/>
          <w:sz w:val="28"/>
          <w:szCs w:val="28"/>
          <w:highlight w:val="white"/>
        </w:rPr>
        <w:t>（2）公务用车购置及运行维护费</w:t>
      </w:r>
      <w:r>
        <w:rPr>
          <w:rFonts w:hint="eastAsia" w:ascii="仿宋" w:hAnsi="仿宋" w:eastAsia="仿宋"/>
          <w:color w:val="000000"/>
          <w:sz w:val="28"/>
          <w:szCs w:val="28"/>
          <w:highlight w:val="white"/>
        </w:rPr>
        <w:t>预算数为4.00万元，支出决算为4.00万元，完成预算的100%。决算数等于预算数的主要原因是预算编制精准，费用控制有效。</w:t>
      </w:r>
    </w:p>
    <w:p>
      <w:pPr>
        <w:spacing w:line="480" w:lineRule="exact"/>
        <w:ind w:firstLine="594"/>
        <w:rPr>
          <w:rFonts w:hint="eastAsia" w:ascii="仿宋" w:hAnsi="仿宋" w:eastAsia="仿宋"/>
          <w:color w:val="000000"/>
          <w:sz w:val="28"/>
          <w:szCs w:val="28"/>
          <w:highlight w:val="white"/>
        </w:rPr>
      </w:pPr>
      <w:r>
        <w:rPr>
          <w:rFonts w:hint="eastAsia" w:ascii="仿宋" w:hAnsi="仿宋" w:eastAsia="仿宋"/>
          <w:b/>
          <w:bCs/>
          <w:color w:val="000000"/>
          <w:sz w:val="28"/>
          <w:szCs w:val="28"/>
          <w:highlight w:val="white"/>
        </w:rPr>
        <w:t>公务用车购置</w:t>
      </w:r>
      <w:r>
        <w:rPr>
          <w:rFonts w:hint="eastAsia" w:ascii="仿宋" w:hAnsi="仿宋" w:eastAsia="仿宋"/>
          <w:color w:val="000000"/>
          <w:sz w:val="28"/>
          <w:szCs w:val="28"/>
          <w:highlight w:val="white"/>
        </w:rPr>
        <w:t>预算数为0万元，支出决算为</w:t>
      </w:r>
      <w:r>
        <w:rPr>
          <w:rFonts w:hint="eastAsia" w:ascii="仿宋" w:hAnsi="仿宋" w:eastAsia="仿宋"/>
          <w:sz w:val="28"/>
          <w:szCs w:val="28"/>
          <w:highlight w:val="white"/>
        </w:rPr>
        <w:t>0万元</w:t>
      </w:r>
      <w:r>
        <w:rPr>
          <w:rFonts w:hint="eastAsia" w:ascii="仿宋" w:hAnsi="仿宋" w:eastAsia="仿宋"/>
          <w:color w:val="000000"/>
          <w:sz w:val="28"/>
          <w:szCs w:val="28"/>
          <w:highlight w:val="white"/>
        </w:rPr>
        <w:t>（含购置税等附加费用），完成预算的0%。决算数、预算数都是0的主要原因是：2021年没有安排公务用车购置。</w:t>
      </w:r>
    </w:p>
    <w:p>
      <w:pPr>
        <w:spacing w:line="480" w:lineRule="exact"/>
        <w:ind w:firstLine="594"/>
        <w:rPr>
          <w:rFonts w:hint="eastAsia" w:ascii="仿宋" w:hAnsi="仿宋" w:eastAsia="仿宋"/>
          <w:color w:val="000000"/>
          <w:sz w:val="28"/>
          <w:szCs w:val="28"/>
          <w:highlight w:val="white"/>
        </w:rPr>
      </w:pPr>
      <w:r>
        <w:rPr>
          <w:rFonts w:hint="eastAsia" w:ascii="仿宋" w:hAnsi="仿宋" w:eastAsia="仿宋"/>
          <w:b/>
          <w:bCs/>
          <w:color w:val="000000"/>
          <w:sz w:val="28"/>
          <w:szCs w:val="28"/>
          <w:highlight w:val="white"/>
        </w:rPr>
        <w:t>公务用车运行维护费</w:t>
      </w:r>
      <w:r>
        <w:rPr>
          <w:rFonts w:hint="eastAsia" w:ascii="仿宋" w:hAnsi="仿宋" w:eastAsia="仿宋"/>
          <w:color w:val="000000"/>
          <w:sz w:val="28"/>
          <w:szCs w:val="28"/>
          <w:highlight w:val="white"/>
        </w:rPr>
        <w:t>预算数为4.00万元，支出4.00万元，完成预算的100%。决算数等于预算数的主要原因是：预算编制精准，费用控制有效。主要用于日常业务开展等所需的公务用车燃料费、维修费、过路过桥费、保险费、安全奖励费用等支出；2021年度，本级及所属单位开支一般公共预算财政拨款的公务用车保有量为3辆。</w:t>
      </w:r>
    </w:p>
    <w:p>
      <w:pPr>
        <w:spacing w:line="480" w:lineRule="exact"/>
        <w:ind w:firstLine="594"/>
        <w:rPr>
          <w:rFonts w:hint="eastAsia" w:ascii="仿宋" w:hAnsi="仿宋" w:eastAsia="仿宋"/>
          <w:color w:val="000000"/>
          <w:sz w:val="28"/>
          <w:szCs w:val="28"/>
          <w:highlight w:val="white"/>
        </w:rPr>
      </w:pPr>
      <w:r>
        <w:rPr>
          <w:rFonts w:hint="eastAsia" w:ascii="仿宋" w:hAnsi="仿宋" w:eastAsia="仿宋"/>
          <w:b/>
          <w:bCs/>
          <w:color w:val="000000"/>
          <w:sz w:val="28"/>
          <w:szCs w:val="28"/>
          <w:highlight w:val="white"/>
        </w:rPr>
        <w:t>（3）公务接待费</w:t>
      </w:r>
      <w:r>
        <w:rPr>
          <w:rFonts w:hint="eastAsia" w:ascii="仿宋" w:hAnsi="仿宋" w:eastAsia="仿宋"/>
          <w:color w:val="000000"/>
          <w:sz w:val="28"/>
          <w:szCs w:val="28"/>
          <w:highlight w:val="white"/>
        </w:rPr>
        <w:t>预算数为1.50万元，支出决算为0.45万元，完成预算的30%。国内公务接待7批次，累计52人次。主要用于接待业务指导、专家考核等支出等支出。决算数小于预算数的主要原因是：</w:t>
      </w:r>
      <w:r>
        <w:rPr>
          <w:rFonts w:hint="eastAsia" w:ascii="仿宋" w:hAnsi="仿宋" w:eastAsia="仿宋"/>
          <w:color w:val="000000"/>
          <w:sz w:val="28"/>
          <w:szCs w:val="28"/>
        </w:rPr>
        <w:t>控制接待业务，节省接待费支出</w:t>
      </w:r>
      <w:r>
        <w:rPr>
          <w:rFonts w:hint="eastAsia" w:ascii="仿宋" w:hAnsi="仿宋" w:eastAsia="仿宋"/>
          <w:color w:val="000000"/>
          <w:sz w:val="28"/>
          <w:szCs w:val="28"/>
          <w:highlight w:val="white"/>
        </w:rPr>
        <w:t>。其中：</w:t>
      </w:r>
    </w:p>
    <w:p>
      <w:pPr>
        <w:spacing w:line="480" w:lineRule="exact"/>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主要用于接待业务指导、专家考核等支出。决算数小于预算数的主要原因是</w:t>
      </w:r>
      <w:r>
        <w:rPr>
          <w:rFonts w:hint="eastAsia" w:ascii="仿宋" w:hAnsi="仿宋" w:eastAsia="仿宋"/>
          <w:color w:val="000000"/>
          <w:sz w:val="28"/>
          <w:szCs w:val="28"/>
        </w:rPr>
        <w:t>控制接待业务，节省接待费支出</w:t>
      </w:r>
      <w:r>
        <w:rPr>
          <w:rFonts w:hint="eastAsia" w:ascii="仿宋" w:hAnsi="仿宋" w:eastAsia="仿宋"/>
          <w:color w:val="000000"/>
          <w:sz w:val="28"/>
          <w:szCs w:val="28"/>
          <w:highlight w:val="white"/>
        </w:rPr>
        <w:t>，全年使用一般公共预算财政拨款国内公务接待7团组，累计52人次。</w:t>
      </w:r>
    </w:p>
    <w:p>
      <w:pPr>
        <w:spacing w:line="480" w:lineRule="exact"/>
        <w:ind w:firstLine="594"/>
        <w:rPr>
          <w:rFonts w:hint="eastAsia" w:ascii="仿宋" w:hAnsi="仿宋" w:eastAsia="仿宋"/>
          <w:color w:val="000000"/>
          <w:sz w:val="28"/>
          <w:szCs w:val="28"/>
          <w:highlight w:val="white"/>
        </w:rPr>
      </w:pPr>
      <w:r>
        <w:rPr>
          <w:rFonts w:hint="eastAsia" w:ascii="仿宋" w:hAnsi="仿宋" w:eastAsia="仿宋"/>
          <w:b/>
          <w:bCs/>
          <w:color w:val="000000"/>
          <w:sz w:val="28"/>
          <w:szCs w:val="28"/>
          <w:highlight w:val="white"/>
        </w:rPr>
        <w:t>外事接待</w:t>
      </w:r>
      <w:r>
        <w:rPr>
          <w:rFonts w:hint="eastAsia" w:ascii="仿宋" w:hAnsi="仿宋" w:eastAsia="仿宋"/>
          <w:color w:val="000000"/>
          <w:sz w:val="28"/>
          <w:szCs w:val="28"/>
          <w:highlight w:val="white"/>
        </w:rPr>
        <w:t>支出0万元，</w:t>
      </w:r>
      <w:r>
        <w:rPr>
          <w:rFonts w:hint="eastAsia" w:ascii="仿宋" w:hAnsi="仿宋" w:eastAsia="仿宋"/>
          <w:color w:val="000000"/>
          <w:sz w:val="28"/>
          <w:szCs w:val="28"/>
        </w:rPr>
        <w:t>接待外宾0团组，0人次。</w:t>
      </w:r>
      <w:r>
        <w:rPr>
          <w:rFonts w:hint="eastAsia" w:ascii="仿宋" w:hAnsi="仿宋" w:eastAsia="仿宋"/>
          <w:color w:val="000000"/>
          <w:sz w:val="28"/>
          <w:szCs w:val="28"/>
          <w:highlight w:val="white"/>
        </w:rPr>
        <w:t>。</w:t>
      </w:r>
    </w:p>
    <w:p>
      <w:pPr>
        <w:spacing w:line="480" w:lineRule="exact"/>
        <w:ind w:firstLine="594"/>
        <w:rPr>
          <w:rFonts w:hint="eastAsia"/>
          <w:color w:val="000000"/>
          <w:sz w:val="28"/>
          <w:szCs w:val="28"/>
          <w:highlight w:val="white"/>
        </w:rPr>
      </w:pPr>
      <w:r>
        <w:rPr>
          <w:rFonts w:hint="eastAsia" w:ascii="仿宋" w:hAnsi="仿宋" w:eastAsia="仿宋"/>
          <w:b/>
          <w:bCs/>
          <w:color w:val="000000"/>
          <w:sz w:val="28"/>
          <w:szCs w:val="28"/>
          <w:highlight w:val="white"/>
        </w:rPr>
        <w:t>其他国内公务接待</w:t>
      </w:r>
      <w:r>
        <w:rPr>
          <w:rFonts w:hint="eastAsia" w:ascii="仿宋" w:hAnsi="仿宋" w:eastAsia="仿宋"/>
          <w:color w:val="000000"/>
          <w:sz w:val="28"/>
          <w:szCs w:val="28"/>
        </w:rPr>
        <w:t>支出0.45万元，主要用于业务指导、专家考核等接待7团组，52人次</w:t>
      </w:r>
      <w:r>
        <w:rPr>
          <w:rFonts w:hint="eastAsia" w:ascii="仿宋" w:hAnsi="仿宋" w:eastAsia="仿宋"/>
          <w:color w:val="000000"/>
          <w:sz w:val="28"/>
          <w:szCs w:val="28"/>
          <w:highlight w:val="white"/>
        </w:rPr>
        <w:t>。</w:t>
      </w:r>
    </w:p>
    <w:p>
      <w:pPr>
        <w:spacing w:line="480" w:lineRule="exact"/>
        <w:ind w:firstLine="594"/>
        <w:rPr>
          <w:rFonts w:ascii="仿宋" w:hAnsi="仿宋" w:eastAsia="仿宋"/>
          <w:color w:val="000000"/>
          <w:sz w:val="28"/>
          <w:szCs w:val="28"/>
          <w:highlight w:val="white"/>
        </w:rPr>
      </w:pPr>
      <w:r>
        <w:rPr>
          <w:rFonts w:hint="eastAsia" w:ascii="楷体" w:hAnsi="楷体" w:eastAsia="楷体"/>
          <w:b/>
          <w:bCs/>
          <w:color w:val="000000"/>
          <w:sz w:val="28"/>
          <w:szCs w:val="28"/>
          <w:highlight w:val="white"/>
        </w:rPr>
        <w:t>（十）机关运行经费支出说明</w:t>
      </w:r>
    </w:p>
    <w:p>
      <w:pPr>
        <w:spacing w:line="480" w:lineRule="exact"/>
        <w:ind w:firstLine="594"/>
        <w:rPr>
          <w:rFonts w:hint="eastAsia" w:ascii="仿宋" w:hAnsi="仿宋" w:eastAsia="仿宋"/>
          <w:sz w:val="28"/>
          <w:szCs w:val="28"/>
          <w:highlight w:val="white"/>
        </w:rPr>
      </w:pPr>
      <w:r>
        <w:rPr>
          <w:rFonts w:hint="eastAsia" w:ascii="仿宋" w:hAnsi="仿宋" w:eastAsia="仿宋"/>
          <w:sz w:val="28"/>
          <w:szCs w:val="28"/>
          <w:highlight w:val="white"/>
        </w:rPr>
        <w:t>2021年度机关运行经费年初预算数为0万元，支出决算为0万元，预决算一致，且与2020年持平，主要原因是本单位为非参公事业单位。</w:t>
      </w:r>
    </w:p>
    <w:p>
      <w:pPr>
        <w:spacing w:line="480" w:lineRule="exact"/>
        <w:ind w:firstLine="560" w:firstLineChars="200"/>
        <w:rPr>
          <w:rFonts w:hint="eastAsia" w:ascii="仿宋" w:hAnsi="仿宋" w:eastAsia="仿宋"/>
          <w:b/>
          <w:bCs/>
          <w:sz w:val="28"/>
          <w:szCs w:val="28"/>
          <w:highlight w:val="white"/>
          <w:u w:val="single"/>
        </w:rPr>
      </w:pPr>
      <w:r>
        <w:rPr>
          <w:rFonts w:hint="eastAsia" w:ascii="楷体" w:hAnsi="楷体" w:eastAsia="楷体"/>
          <w:b/>
          <w:bCs/>
          <w:color w:val="000000"/>
          <w:sz w:val="28"/>
          <w:szCs w:val="28"/>
          <w:highlight w:val="white"/>
        </w:rPr>
        <w:t>（十一）政府采购支出说明</w:t>
      </w:r>
    </w:p>
    <w:p>
      <w:pPr>
        <w:spacing w:line="480" w:lineRule="exact"/>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2021年度政府采购支出总额39.45万元，其中：政府采购货物支出39.45万元、政府采购工程支出</w:t>
      </w:r>
      <w:r>
        <w:rPr>
          <w:rFonts w:hint="eastAsia" w:ascii="仿宋" w:hAnsi="仿宋" w:eastAsia="仿宋"/>
          <w:kern w:val="0"/>
          <w:sz w:val="28"/>
          <w:szCs w:val="28"/>
          <w:highlight w:val="white"/>
        </w:rPr>
        <w:t>0万元</w:t>
      </w:r>
      <w:r>
        <w:rPr>
          <w:rFonts w:hint="eastAsia" w:ascii="仿宋" w:hAnsi="仿宋" w:eastAsia="仿宋"/>
          <w:color w:val="000000"/>
          <w:sz w:val="28"/>
          <w:szCs w:val="28"/>
          <w:highlight w:val="white"/>
        </w:rPr>
        <w:t>、政府采购服务支出0万元。授予中小企业合同金额39.45万元，占政府采购支出总额的100%。其中，授予小微企业合同金额39.45万元，占授予中小企业合同金额的100%；货物采购授予中小企业合同金额占货物支出金额的100%，工程采购授予中小企业合同金额占工程支出金额的0%，服务采购授予中小企业合同金额占服务支出金额的0%。</w:t>
      </w:r>
    </w:p>
    <w:p>
      <w:pPr>
        <w:spacing w:line="480" w:lineRule="exact"/>
        <w:ind w:firstLine="594"/>
        <w:rPr>
          <w:rFonts w:hint="eastAsia" w:ascii="仿宋" w:hAnsi="仿宋" w:eastAsia="仿宋"/>
          <w:b/>
          <w:bCs/>
          <w:sz w:val="28"/>
          <w:szCs w:val="28"/>
          <w:highlight w:val="white"/>
          <w:u w:val="single"/>
        </w:rPr>
      </w:pPr>
      <w:r>
        <w:rPr>
          <w:rFonts w:hint="eastAsia" w:ascii="楷体" w:hAnsi="楷体" w:eastAsia="楷体"/>
          <w:b/>
          <w:bCs/>
          <w:color w:val="000000"/>
          <w:sz w:val="28"/>
          <w:szCs w:val="28"/>
          <w:highlight w:val="white"/>
        </w:rPr>
        <w:t>（十二）国有资产占有情况说明</w:t>
      </w:r>
    </w:p>
    <w:p>
      <w:pPr>
        <w:spacing w:line="480" w:lineRule="exact"/>
        <w:ind w:firstLine="594"/>
        <w:rPr>
          <w:rFonts w:hint="eastAsia" w:ascii="楷体" w:hAnsi="楷体" w:eastAsia="楷体"/>
          <w:b/>
          <w:bCs/>
          <w:color w:val="000000"/>
          <w:sz w:val="28"/>
          <w:szCs w:val="28"/>
          <w:highlight w:val="white"/>
        </w:rPr>
      </w:pPr>
      <w:r>
        <w:rPr>
          <w:rFonts w:hint="eastAsia" w:ascii="仿宋" w:hAnsi="仿宋" w:eastAsia="仿宋"/>
          <w:color w:val="000000"/>
          <w:sz w:val="28"/>
          <w:szCs w:val="28"/>
          <w:highlight w:val="white"/>
        </w:rPr>
        <w:t>截至2021年12月31日，本单位共有车辆3辆，其中，副部（省）级及以上领导用车0辆、主要领导干部用车0辆、机要通信用车0辆、应急保障用车0辆、执法执勤用车0辆、特种专业技术用车0辆、离退休干部用车0辆、其他用车3辆,其他用车主要是检测检验业务用车；单价50万元以上通用设备2台（套），单价100万元以上专用设备0台（套）。</w:t>
      </w:r>
      <w:r>
        <w:rPr>
          <w:rFonts w:ascii="仿宋_GB2312" w:hAnsi="仿宋_GB2312"/>
          <w:color w:val="000000"/>
          <w:sz w:val="28"/>
          <w:szCs w:val="28"/>
          <w:highlight w:val="white"/>
        </w:rPr>
        <w:t xml:space="preserve"> </w:t>
      </w:r>
    </w:p>
    <w:p>
      <w:pPr>
        <w:spacing w:line="480" w:lineRule="exact"/>
        <w:ind w:firstLine="594"/>
        <w:rPr>
          <w:rFonts w:hint="eastAsia" w:ascii="仿宋" w:hAnsi="仿宋" w:eastAsia="仿宋"/>
          <w:color w:val="000000"/>
          <w:sz w:val="28"/>
          <w:szCs w:val="28"/>
          <w:highlight w:val="white"/>
        </w:rPr>
      </w:pPr>
      <w:r>
        <w:rPr>
          <w:rFonts w:hint="eastAsia" w:ascii="楷体" w:hAnsi="楷体" w:eastAsia="楷体"/>
          <w:b/>
          <w:bCs/>
          <w:color w:val="000000"/>
          <w:sz w:val="28"/>
          <w:szCs w:val="28"/>
          <w:highlight w:val="white"/>
        </w:rPr>
        <w:t>（十三）预算绩效情况说明</w:t>
      </w:r>
    </w:p>
    <w:p>
      <w:pPr>
        <w:spacing w:line="480" w:lineRule="exact"/>
        <w:ind w:firstLine="594"/>
        <w:rPr>
          <w:rFonts w:hint="eastAsia" w:ascii="仿宋" w:hAnsi="仿宋" w:eastAsia="仿宋"/>
          <w:color w:val="000000"/>
          <w:sz w:val="28"/>
          <w:szCs w:val="28"/>
          <w:highlight w:val="white"/>
        </w:rPr>
      </w:pPr>
      <w:r>
        <w:rPr>
          <w:rFonts w:hint="eastAsia" w:ascii="仿宋" w:hAnsi="仿宋" w:eastAsia="仿宋"/>
          <w:b/>
          <w:bCs/>
          <w:color w:val="000000"/>
          <w:sz w:val="28"/>
          <w:szCs w:val="28"/>
          <w:highlight w:val="white"/>
        </w:rPr>
        <w:t>1.预算绩效管理工作开展情况。</w:t>
      </w:r>
    </w:p>
    <w:p>
      <w:pPr>
        <w:widowControl w:val="0"/>
        <w:spacing w:line="480" w:lineRule="exact"/>
        <w:ind w:firstLine="594"/>
        <w:rPr>
          <w:rFonts w:hint="eastAsia" w:ascii="仿宋" w:hAnsi="仿宋" w:eastAsia="仿宋"/>
          <w:sz w:val="28"/>
          <w:szCs w:val="28"/>
          <w:highlight w:val="white"/>
        </w:rPr>
      </w:pPr>
      <w:r>
        <w:rPr>
          <w:rFonts w:hint="eastAsia" w:ascii="仿宋" w:hAnsi="仿宋" w:eastAsia="仿宋"/>
          <w:color w:val="000000"/>
          <w:sz w:val="28"/>
          <w:szCs w:val="28"/>
          <w:highlight w:val="white"/>
        </w:rPr>
        <w:t>根据预算绩效管理要求，兰溪市产品商品质量检测研究院组织对2021年度一般公共预算项目支出全面开展绩效自评，其中，二级项目2个，共涉及资金65.31万元，占一般公共预算项目支出总额的100.00%</w:t>
      </w:r>
      <w:r>
        <w:rPr>
          <w:rFonts w:hint="eastAsia" w:ascii="仿宋" w:hAnsi="仿宋" w:eastAsia="仿宋"/>
          <w:sz w:val="28"/>
          <w:szCs w:val="28"/>
          <w:highlight w:val="white"/>
        </w:rPr>
        <w:t>。</w:t>
      </w:r>
    </w:p>
    <w:p>
      <w:pPr>
        <w:widowControl w:val="0"/>
        <w:spacing w:line="480" w:lineRule="exact"/>
        <w:ind w:firstLine="594"/>
        <w:rPr>
          <w:rFonts w:hint="eastAsia" w:ascii="仿宋" w:hAnsi="仿宋" w:eastAsia="仿宋"/>
          <w:b/>
          <w:bCs/>
          <w:sz w:val="28"/>
          <w:szCs w:val="28"/>
        </w:rPr>
      </w:pPr>
      <w:r>
        <w:rPr>
          <w:rFonts w:hint="eastAsia" w:ascii="仿宋" w:hAnsi="仿宋" w:eastAsia="仿宋"/>
          <w:sz w:val="28"/>
          <w:szCs w:val="28"/>
        </w:rPr>
        <w:t>本年度无政府性基金预算项目，故未开展政府性基金预算项目支出绩效自评</w:t>
      </w:r>
      <w:r>
        <w:rPr>
          <w:rFonts w:hint="eastAsia" w:ascii="仿宋" w:hAnsi="仿宋" w:eastAsia="仿宋"/>
          <w:b/>
          <w:bCs/>
          <w:sz w:val="28"/>
          <w:szCs w:val="28"/>
        </w:rPr>
        <w:t>。</w:t>
      </w:r>
    </w:p>
    <w:p>
      <w:pPr>
        <w:widowControl w:val="0"/>
        <w:spacing w:line="480" w:lineRule="exact"/>
        <w:ind w:firstLine="594"/>
        <w:rPr>
          <w:rFonts w:hint="eastAsia" w:eastAsia="仿宋"/>
        </w:rPr>
      </w:pPr>
      <w:r>
        <w:rPr>
          <w:rFonts w:hint="eastAsia" w:ascii="仿宋" w:hAnsi="仿宋" w:eastAsia="仿宋"/>
          <w:sz w:val="28"/>
          <w:szCs w:val="28"/>
        </w:rPr>
        <w:t>本年度无国有资本经营预算项目</w:t>
      </w:r>
      <w:r>
        <w:rPr>
          <w:rFonts w:hint="eastAsia" w:ascii="仿宋" w:hAnsi="仿宋" w:eastAsia="仿宋"/>
          <w:b/>
          <w:bCs/>
          <w:sz w:val="28"/>
          <w:szCs w:val="28"/>
        </w:rPr>
        <w:t>。</w:t>
      </w:r>
    </w:p>
    <w:p>
      <w:pPr>
        <w:widowControl w:val="0"/>
        <w:spacing w:line="480" w:lineRule="exact"/>
        <w:ind w:firstLine="594"/>
        <w:rPr>
          <w:rFonts w:hint="eastAsia" w:ascii="仿宋" w:hAnsi="仿宋" w:eastAsia="仿宋"/>
          <w:sz w:val="28"/>
          <w:szCs w:val="28"/>
        </w:rPr>
      </w:pPr>
      <w:r>
        <w:rPr>
          <w:rFonts w:hint="eastAsia" w:ascii="仿宋" w:hAnsi="仿宋" w:eastAsia="仿宋"/>
          <w:sz w:val="28"/>
          <w:szCs w:val="28"/>
        </w:rPr>
        <w:t>本年无部门评价。</w:t>
      </w:r>
    </w:p>
    <w:p>
      <w:pPr>
        <w:widowControl w:val="0"/>
        <w:spacing w:line="480" w:lineRule="exact"/>
        <w:ind w:firstLine="594"/>
        <w:rPr>
          <w:rFonts w:hint="eastAsia" w:ascii="仿宋" w:hAnsi="仿宋" w:eastAsia="仿宋"/>
          <w:color w:val="000000"/>
          <w:sz w:val="28"/>
          <w:szCs w:val="28"/>
        </w:rPr>
      </w:pPr>
      <w:r>
        <w:rPr>
          <w:rFonts w:hint="eastAsia" w:ascii="仿宋" w:hAnsi="仿宋" w:eastAsia="仿宋"/>
          <w:color w:val="000000"/>
          <w:sz w:val="28"/>
          <w:szCs w:val="28"/>
        </w:rPr>
        <w:t>本年无部门整体支出绩效评价。</w:t>
      </w:r>
    </w:p>
    <w:p>
      <w:pPr>
        <w:spacing w:line="480" w:lineRule="exact"/>
        <w:ind w:firstLine="594"/>
        <w:rPr>
          <w:rFonts w:hint="eastAsia" w:ascii="仿宋" w:hAnsi="仿宋" w:eastAsia="仿宋"/>
          <w:color w:val="000000"/>
          <w:sz w:val="28"/>
          <w:szCs w:val="28"/>
          <w:highlight w:val="white"/>
        </w:rPr>
      </w:pPr>
      <w:r>
        <w:rPr>
          <w:rFonts w:hint="eastAsia" w:ascii="仿宋" w:hAnsi="仿宋" w:eastAsia="仿宋"/>
          <w:color w:val="000000"/>
          <w:sz w:val="28"/>
          <w:szCs w:val="28"/>
        </w:rPr>
        <w:t>本年无下属单位整体支出绩效评价。</w:t>
      </w:r>
    </w:p>
    <w:p>
      <w:pPr>
        <w:spacing w:line="480" w:lineRule="exact"/>
        <w:ind w:firstLine="594"/>
        <w:rPr>
          <w:rFonts w:hint="eastAsia" w:ascii="仿宋" w:hAnsi="仿宋" w:eastAsia="仿宋"/>
          <w:color w:val="000000"/>
          <w:sz w:val="28"/>
          <w:szCs w:val="28"/>
          <w:highlight w:val="white"/>
        </w:rPr>
      </w:pPr>
      <w:r>
        <w:rPr>
          <w:rFonts w:hint="eastAsia" w:ascii="仿宋" w:hAnsi="仿宋" w:eastAsia="仿宋"/>
          <w:b/>
          <w:bCs/>
          <w:color w:val="000000"/>
          <w:sz w:val="28"/>
          <w:szCs w:val="28"/>
          <w:highlight w:val="white"/>
        </w:rPr>
        <w:t>2.单位决算中项目绩效自评结果</w:t>
      </w:r>
    </w:p>
    <w:p>
      <w:pPr>
        <w:widowControl w:val="0"/>
        <w:spacing w:line="480" w:lineRule="exact"/>
        <w:ind w:firstLine="594"/>
        <w:rPr>
          <w:rFonts w:hint="eastAsia" w:ascii="仿宋" w:hAnsi="仿宋" w:eastAsia="仿宋"/>
          <w:color w:val="000000"/>
          <w:sz w:val="28"/>
          <w:szCs w:val="28"/>
          <w:highlight w:val="white"/>
        </w:rPr>
      </w:pPr>
      <w:r>
        <w:rPr>
          <w:rFonts w:hint="eastAsia" w:ascii="仿宋" w:hAnsi="仿宋" w:eastAsia="仿宋"/>
          <w:color w:val="000000"/>
          <w:sz w:val="28"/>
          <w:szCs w:val="28"/>
          <w:highlight w:val="white"/>
        </w:rPr>
        <w:t>兰溪市产品商品质量检测研究院在202</w:t>
      </w:r>
      <w:r>
        <w:rPr>
          <w:rFonts w:hint="eastAsia" w:ascii="仿宋" w:hAnsi="仿宋" w:eastAsia="仿宋"/>
          <w:color w:val="000000"/>
          <w:sz w:val="28"/>
          <w:szCs w:val="28"/>
          <w:highlight w:val="white"/>
          <w:lang w:val="en-US" w:eastAsia="zh-CN"/>
        </w:rPr>
        <w:t>1</w:t>
      </w:r>
      <w:r>
        <w:rPr>
          <w:rFonts w:hint="eastAsia" w:ascii="仿宋" w:hAnsi="仿宋" w:eastAsia="仿宋"/>
          <w:color w:val="000000"/>
          <w:sz w:val="28"/>
          <w:szCs w:val="28"/>
          <w:highlight w:val="white"/>
        </w:rPr>
        <w:t>年度单位决算中反映《</w:t>
      </w:r>
      <w:r>
        <w:rPr>
          <w:rFonts w:hint="eastAsia" w:ascii="仿宋" w:hAnsi="仿宋" w:eastAsia="仿宋"/>
          <w:color w:val="000000"/>
          <w:sz w:val="28"/>
          <w:szCs w:val="28"/>
          <w:highlight w:val="white"/>
          <w:lang w:eastAsia="zh-CN"/>
        </w:rPr>
        <w:t>县级法定计量检定机构能力提升</w:t>
      </w:r>
      <w:r>
        <w:rPr>
          <w:rFonts w:hint="eastAsia" w:ascii="仿宋" w:hAnsi="仿宋" w:eastAsia="仿宋"/>
          <w:color w:val="000000"/>
          <w:sz w:val="28"/>
          <w:szCs w:val="28"/>
          <w:highlight w:val="white"/>
        </w:rPr>
        <w:t>》及《</w:t>
      </w:r>
      <w:r>
        <w:rPr>
          <w:rFonts w:hint="eastAsia" w:ascii="仿宋" w:hAnsi="仿宋" w:eastAsia="仿宋"/>
          <w:color w:val="000000"/>
          <w:sz w:val="28"/>
          <w:szCs w:val="28"/>
          <w:highlight w:val="white"/>
          <w:lang w:eastAsia="zh-CN"/>
        </w:rPr>
        <w:t>检测检验工作经费</w:t>
      </w:r>
      <w:r>
        <w:rPr>
          <w:rFonts w:hint="eastAsia" w:ascii="仿宋" w:hAnsi="仿宋" w:eastAsia="仿宋"/>
          <w:color w:val="000000"/>
          <w:sz w:val="28"/>
          <w:szCs w:val="28"/>
          <w:highlight w:val="white"/>
        </w:rPr>
        <w:t>》项目绩效自评结果。</w:t>
      </w:r>
    </w:p>
    <w:p>
      <w:pPr>
        <w:widowControl w:val="0"/>
        <w:spacing w:line="480" w:lineRule="exact"/>
        <w:ind w:firstLine="594"/>
        <w:rPr>
          <w:rFonts w:hint="eastAsia" w:ascii="仿宋" w:hAnsi="仿宋" w:eastAsia="仿宋"/>
          <w:b/>
          <w:bCs/>
          <w:color w:val="000000"/>
          <w:sz w:val="28"/>
          <w:szCs w:val="28"/>
          <w:highlight w:val="white"/>
          <w:u w:val="single"/>
        </w:rPr>
      </w:pPr>
      <w:r>
        <w:rPr>
          <w:rFonts w:hint="eastAsia" w:ascii="仿宋" w:hAnsi="仿宋" w:eastAsia="仿宋"/>
          <w:color w:val="000000"/>
          <w:sz w:val="28"/>
          <w:szCs w:val="28"/>
          <w:highlight w:val="white"/>
        </w:rPr>
        <w:t>《</w:t>
      </w:r>
      <w:r>
        <w:rPr>
          <w:rFonts w:hint="eastAsia" w:ascii="仿宋" w:hAnsi="仿宋" w:eastAsia="仿宋"/>
          <w:color w:val="000000"/>
          <w:sz w:val="28"/>
          <w:szCs w:val="28"/>
          <w:highlight w:val="white"/>
          <w:lang w:eastAsia="zh-CN"/>
        </w:rPr>
        <w:t>县级法定计量检定机构能力提升</w:t>
      </w:r>
      <w:r>
        <w:rPr>
          <w:rFonts w:hint="eastAsia" w:ascii="仿宋" w:hAnsi="仿宋" w:eastAsia="仿宋"/>
          <w:color w:val="000000"/>
          <w:sz w:val="28"/>
          <w:szCs w:val="28"/>
          <w:highlight w:val="white"/>
        </w:rPr>
        <w:t>》项目绩效自评综述：根据年初设定的绩效目标，项目自评得分</w:t>
      </w:r>
      <w:r>
        <w:rPr>
          <w:rFonts w:hint="eastAsia" w:ascii="仿宋" w:hAnsi="仿宋" w:eastAsia="仿宋"/>
          <w:color w:val="000000"/>
          <w:sz w:val="28"/>
          <w:szCs w:val="28"/>
          <w:highlight w:val="white"/>
          <w:lang w:val="en-US" w:eastAsia="zh-CN"/>
        </w:rPr>
        <w:t>95</w:t>
      </w:r>
      <w:r>
        <w:rPr>
          <w:rFonts w:hint="eastAsia" w:ascii="仿宋" w:hAnsi="仿宋" w:eastAsia="仿宋"/>
          <w:color w:val="000000"/>
          <w:sz w:val="28"/>
          <w:szCs w:val="28"/>
          <w:highlight w:val="white"/>
        </w:rPr>
        <w:t>分，自评结论为“优”。项目全年预算数为</w:t>
      </w:r>
      <w:r>
        <w:rPr>
          <w:rFonts w:hint="eastAsia" w:ascii="仿宋" w:hAnsi="仿宋" w:eastAsia="仿宋"/>
          <w:color w:val="000000"/>
          <w:sz w:val="28"/>
          <w:szCs w:val="28"/>
          <w:highlight w:val="white"/>
          <w:lang w:val="en-US" w:eastAsia="zh-CN"/>
        </w:rPr>
        <w:t>36.61</w:t>
      </w:r>
      <w:r>
        <w:rPr>
          <w:rFonts w:hint="eastAsia" w:ascii="仿宋" w:hAnsi="仿宋" w:eastAsia="仿宋"/>
          <w:color w:val="000000"/>
          <w:sz w:val="28"/>
          <w:szCs w:val="28"/>
          <w:highlight w:val="white"/>
        </w:rPr>
        <w:t>万元，执行数为</w:t>
      </w:r>
      <w:r>
        <w:rPr>
          <w:rFonts w:hint="eastAsia" w:ascii="仿宋" w:hAnsi="仿宋" w:eastAsia="仿宋"/>
          <w:color w:val="000000"/>
          <w:sz w:val="28"/>
          <w:szCs w:val="28"/>
          <w:highlight w:val="white"/>
          <w:lang w:val="en-US" w:eastAsia="zh-CN"/>
        </w:rPr>
        <w:t>36.61</w:t>
      </w:r>
      <w:r>
        <w:rPr>
          <w:rFonts w:hint="eastAsia" w:ascii="仿宋" w:hAnsi="仿宋" w:eastAsia="仿宋"/>
          <w:color w:val="000000"/>
          <w:sz w:val="28"/>
          <w:szCs w:val="28"/>
          <w:highlight w:val="white"/>
        </w:rPr>
        <w:t>万元，完成预算的</w:t>
      </w:r>
      <w:r>
        <w:rPr>
          <w:rFonts w:hint="eastAsia" w:ascii="仿宋" w:hAnsi="仿宋" w:eastAsia="仿宋"/>
          <w:color w:val="000000"/>
          <w:sz w:val="28"/>
          <w:szCs w:val="28"/>
          <w:highlight w:val="white"/>
          <w:lang w:val="en-US" w:eastAsia="zh-CN"/>
        </w:rPr>
        <w:t>100</w:t>
      </w:r>
      <w:r>
        <w:rPr>
          <w:rFonts w:hint="eastAsia" w:ascii="仿宋" w:hAnsi="仿宋" w:eastAsia="仿宋"/>
          <w:color w:val="000000"/>
          <w:sz w:val="28"/>
          <w:szCs w:val="28"/>
          <w:highlight w:val="white"/>
        </w:rPr>
        <w:t>%。项目绩效目标完成情况：一是数量、</w:t>
      </w:r>
      <w:r>
        <w:rPr>
          <w:rFonts w:hint="eastAsia" w:ascii="仿宋" w:hAnsi="仿宋" w:eastAsia="仿宋"/>
          <w:color w:val="000000"/>
          <w:sz w:val="28"/>
          <w:szCs w:val="28"/>
          <w:highlight w:val="white"/>
          <w:lang w:eastAsia="zh-CN"/>
        </w:rPr>
        <w:t>合同执行率</w:t>
      </w:r>
      <w:r>
        <w:rPr>
          <w:rFonts w:hint="eastAsia" w:ascii="仿宋" w:hAnsi="仿宋" w:eastAsia="仿宋"/>
          <w:color w:val="000000"/>
          <w:sz w:val="28"/>
          <w:szCs w:val="28"/>
          <w:highlight w:val="white"/>
        </w:rPr>
        <w:t>指标均完成了年度指标值；二是</w:t>
      </w:r>
      <w:r>
        <w:rPr>
          <w:rFonts w:hint="eastAsia" w:ascii="仿宋" w:hAnsi="仿宋" w:eastAsia="仿宋"/>
          <w:color w:val="000000"/>
          <w:sz w:val="28"/>
          <w:szCs w:val="28"/>
          <w:highlight w:val="white"/>
          <w:lang w:eastAsia="zh-CN"/>
        </w:rPr>
        <w:t>产品合格率、质量标准和性能符合要求</w:t>
      </w:r>
      <w:r>
        <w:rPr>
          <w:rFonts w:hint="eastAsia" w:ascii="仿宋" w:hAnsi="仿宋" w:eastAsia="仿宋"/>
          <w:color w:val="000000"/>
          <w:sz w:val="28"/>
          <w:szCs w:val="28"/>
          <w:highlight w:val="white"/>
        </w:rPr>
        <w:t>。发现的问题及原因：</w:t>
      </w:r>
      <w:r>
        <w:rPr>
          <w:rFonts w:hint="eastAsia" w:ascii="仿宋" w:hAnsi="仿宋" w:eastAsia="仿宋"/>
          <w:color w:val="000000"/>
          <w:sz w:val="28"/>
          <w:szCs w:val="28"/>
          <w:highlight w:val="white"/>
          <w:lang w:eastAsia="zh-CN"/>
        </w:rPr>
        <w:t>采购的设备当年安装、当年运行，但由于时间紧迫，技术人员与检测设备的磨合度还不够</w:t>
      </w:r>
      <w:r>
        <w:rPr>
          <w:rFonts w:hint="eastAsia" w:ascii="仿宋" w:hAnsi="仿宋" w:eastAsia="仿宋"/>
          <w:color w:val="000000"/>
          <w:sz w:val="28"/>
          <w:szCs w:val="28"/>
          <w:highlight w:val="white"/>
        </w:rPr>
        <w:t>。下一步改进措施：</w:t>
      </w:r>
      <w:r>
        <w:rPr>
          <w:rFonts w:hint="eastAsia" w:ascii="仿宋" w:hAnsi="仿宋" w:eastAsia="仿宋"/>
          <w:color w:val="000000"/>
          <w:sz w:val="28"/>
          <w:szCs w:val="28"/>
          <w:highlight w:val="white"/>
          <w:lang w:eastAsia="zh-CN"/>
        </w:rPr>
        <w:t>加快技术人员的培训和学习，尽快熟悉检测设备参数、性能和操作要求，让检测设备发挥出更高的检测效率</w:t>
      </w:r>
      <w:r>
        <w:rPr>
          <w:rFonts w:hint="eastAsia" w:ascii="仿宋" w:hAnsi="仿宋" w:eastAsia="仿宋"/>
          <w:color w:val="000000"/>
          <w:sz w:val="28"/>
          <w:szCs w:val="28"/>
          <w:highlight w:val="white"/>
        </w:rPr>
        <w:t>。</w:t>
      </w:r>
      <w:r>
        <w:rPr>
          <w:rFonts w:hint="eastAsia" w:ascii="仿宋" w:hAnsi="仿宋" w:eastAsia="仿宋"/>
          <w:b/>
          <w:bCs/>
          <w:color w:val="000000"/>
          <w:sz w:val="28"/>
          <w:szCs w:val="28"/>
          <w:highlight w:val="white"/>
          <w:u w:val="single"/>
        </w:rPr>
        <w:t>附《</w:t>
      </w:r>
      <w:r>
        <w:rPr>
          <w:rFonts w:hint="eastAsia" w:ascii="仿宋" w:hAnsi="仿宋" w:eastAsia="仿宋"/>
          <w:b/>
          <w:bCs/>
          <w:color w:val="000000"/>
          <w:sz w:val="28"/>
          <w:szCs w:val="28"/>
          <w:highlight w:val="white"/>
          <w:u w:val="single"/>
          <w:lang w:eastAsia="zh-CN"/>
        </w:rPr>
        <w:t>县级法定计量检定机构能力提升</w:t>
      </w:r>
      <w:r>
        <w:rPr>
          <w:rFonts w:hint="eastAsia" w:ascii="仿宋" w:hAnsi="仿宋" w:eastAsia="仿宋"/>
          <w:b/>
          <w:bCs/>
          <w:color w:val="000000"/>
          <w:sz w:val="28"/>
          <w:szCs w:val="28"/>
          <w:highlight w:val="white"/>
          <w:u w:val="single"/>
        </w:rPr>
        <w:t>》项目绩效自评表。</w:t>
      </w:r>
    </w:p>
    <w:p>
      <w:pPr>
        <w:spacing w:before="100" w:beforeAutospacing="1" w:after="100" w:afterAutospacing="1"/>
        <w:jc w:val="left"/>
        <w:rPr>
          <w:rFonts w:hint="eastAsia" w:ascii="仿宋_GB2312" w:hAnsi="仿宋_GB2312" w:cs="宋体"/>
          <w:color w:val="000000"/>
          <w:kern w:val="0"/>
          <w:sz w:val="24"/>
          <w:szCs w:val="24"/>
        </w:rPr>
        <w:sectPr>
          <w:footerReference r:id="rId3" w:type="default"/>
          <w:pgSz w:w="12240" w:h="15840"/>
          <w:pgMar w:top="1440" w:right="1800" w:bottom="1440" w:left="1800" w:header="720" w:footer="720" w:gutter="0"/>
          <w:cols w:space="720" w:num="1"/>
        </w:sectPr>
      </w:pPr>
    </w:p>
    <w:tbl>
      <w:tblPr>
        <w:tblStyle w:val="6"/>
        <w:tblW w:w="13160" w:type="dxa"/>
        <w:tblInd w:w="0" w:type="dxa"/>
        <w:shd w:val="clear" w:color="auto" w:fill="auto"/>
        <w:tblLayout w:type="fixed"/>
        <w:tblCellMar>
          <w:top w:w="0" w:type="dxa"/>
          <w:left w:w="0" w:type="dxa"/>
          <w:bottom w:w="0" w:type="dxa"/>
          <w:right w:w="0" w:type="dxa"/>
        </w:tblCellMar>
      </w:tblPr>
      <w:tblGrid>
        <w:gridCol w:w="440"/>
        <w:gridCol w:w="177"/>
        <w:gridCol w:w="291"/>
        <w:gridCol w:w="90"/>
        <w:gridCol w:w="302"/>
        <w:gridCol w:w="133"/>
        <w:gridCol w:w="90"/>
        <w:gridCol w:w="1777"/>
        <w:gridCol w:w="178"/>
        <w:gridCol w:w="2482"/>
        <w:gridCol w:w="178"/>
        <w:gridCol w:w="2222"/>
        <w:gridCol w:w="178"/>
        <w:gridCol w:w="482"/>
        <w:gridCol w:w="178"/>
        <w:gridCol w:w="442"/>
        <w:gridCol w:w="178"/>
        <w:gridCol w:w="3164"/>
        <w:gridCol w:w="178"/>
      </w:tblGrid>
      <w:tr>
        <w:tblPrEx>
          <w:shd w:val="clear" w:color="auto" w:fill="auto"/>
          <w:tblLayout w:type="fixed"/>
          <w:tblCellMar>
            <w:top w:w="0" w:type="dxa"/>
            <w:left w:w="0" w:type="dxa"/>
            <w:bottom w:w="0" w:type="dxa"/>
            <w:right w:w="0" w:type="dxa"/>
          </w:tblCellMar>
        </w:tblPrEx>
        <w:trPr>
          <w:gridAfter w:val="1"/>
          <w:wAfter w:w="178" w:type="dxa"/>
          <w:trHeight w:val="420" w:hRule="atLeast"/>
        </w:trPr>
        <w:tc>
          <w:tcPr>
            <w:tcW w:w="12982" w:type="dxa"/>
            <w:gridSpan w:val="1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28"/>
                <w:szCs w:val="28"/>
                <w:u w:val="none"/>
              </w:rPr>
            </w:pPr>
            <w:r>
              <w:rPr>
                <w:rFonts w:hint="eastAsia" w:ascii="宋体" w:hAnsi="宋体" w:cs="宋体"/>
                <w:b/>
                <w:bCs/>
                <w:color w:val="000000"/>
                <w:sz w:val="28"/>
                <w:szCs w:val="28"/>
                <w:highlight w:val="white"/>
                <w:lang w:eastAsia="zh-CN"/>
              </w:rPr>
              <w:t>《</w:t>
            </w:r>
            <w:r>
              <w:rPr>
                <w:rFonts w:hint="eastAsia" w:ascii="宋体" w:hAnsi="宋体" w:eastAsia="宋体" w:cs="宋体"/>
                <w:b/>
                <w:bCs/>
                <w:color w:val="000000"/>
                <w:sz w:val="28"/>
                <w:szCs w:val="28"/>
                <w:highlight w:val="white"/>
                <w:lang w:eastAsia="zh-CN"/>
              </w:rPr>
              <w:t>县级法定计量检定机构能力提升</w:t>
            </w:r>
            <w:r>
              <w:rPr>
                <w:rFonts w:hint="eastAsia" w:ascii="宋体" w:hAnsi="宋体" w:cs="宋体"/>
                <w:b/>
                <w:bCs/>
                <w:color w:val="000000"/>
                <w:sz w:val="28"/>
                <w:szCs w:val="28"/>
                <w:highlight w:val="white"/>
                <w:lang w:eastAsia="zh-CN"/>
              </w:rPr>
              <w:t>》</w:t>
            </w:r>
            <w:r>
              <w:rPr>
                <w:rFonts w:hint="eastAsia" w:ascii="宋体" w:hAnsi="宋体" w:eastAsia="宋体" w:cs="宋体"/>
                <w:b/>
                <w:bCs/>
                <w:i w:val="0"/>
                <w:color w:val="000000"/>
                <w:kern w:val="0"/>
                <w:sz w:val="28"/>
                <w:szCs w:val="28"/>
                <w:u w:val="none"/>
                <w:lang w:val="en-US" w:eastAsia="zh-CN" w:bidi="ar"/>
              </w:rPr>
              <w:t>项目绩效自评表</w:t>
            </w:r>
          </w:p>
        </w:tc>
      </w:tr>
      <w:tr>
        <w:tblPrEx>
          <w:tblLayout w:type="fixed"/>
          <w:tblCellMar>
            <w:top w:w="0" w:type="dxa"/>
            <w:left w:w="0" w:type="dxa"/>
            <w:bottom w:w="0" w:type="dxa"/>
            <w:right w:w="0" w:type="dxa"/>
          </w:tblCellMar>
        </w:tblPrEx>
        <w:trPr>
          <w:gridAfter w:val="1"/>
          <w:wAfter w:w="178" w:type="dxa"/>
          <w:trHeight w:val="315" w:hRule="atLeast"/>
        </w:trPr>
        <w:tc>
          <w:tcPr>
            <w:tcW w:w="12982" w:type="dxa"/>
            <w:gridSpan w:val="18"/>
            <w:tcBorders>
              <w:top w:val="nil"/>
              <w:left w:val="nil"/>
              <w:bottom w:val="single" w:color="auto"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w:t>
            </w:r>
            <w:r>
              <w:rPr>
                <w:rFonts w:hint="eastAsia" w:cs="Times New Roman"/>
                <w:i w:val="0"/>
                <w:color w:val="000000"/>
                <w:kern w:val="0"/>
                <w:sz w:val="20"/>
                <w:szCs w:val="20"/>
                <w:u w:val="none"/>
                <w:lang w:val="en-US" w:eastAsia="zh-CN" w:bidi="ar"/>
              </w:rPr>
              <w:t xml:space="preserve">   </w:t>
            </w:r>
            <w:r>
              <w:rPr>
                <w:rFonts w:hint="eastAsia" w:cs="Times New Roman"/>
                <w:i w:val="0"/>
                <w:color w:val="000000"/>
                <w:kern w:val="0"/>
                <w:sz w:val="22"/>
                <w:szCs w:val="22"/>
                <w:u w:val="none"/>
                <w:lang w:val="en-US" w:eastAsia="zh-CN" w:bidi="ar"/>
              </w:rPr>
              <w:t xml:space="preserve"> </w:t>
            </w:r>
            <w:r>
              <w:rPr>
                <w:rFonts w:hint="default" w:ascii="Times New Roman" w:hAnsi="Times New Roman" w:eastAsia="宋体" w:cs="Times New Roman"/>
                <w:i w:val="0"/>
                <w:color w:val="000000"/>
                <w:kern w:val="0"/>
                <w:sz w:val="22"/>
                <w:szCs w:val="22"/>
                <w:u w:val="none"/>
                <w:lang w:val="en-US" w:eastAsia="zh-CN" w:bidi="ar"/>
              </w:rPr>
              <w:t xml:space="preserve"> </w:t>
            </w:r>
            <w:r>
              <w:rPr>
                <w:rStyle w:val="9"/>
                <w:rFonts w:hAnsi="Times New Roman"/>
                <w:sz w:val="22"/>
                <w:szCs w:val="22"/>
                <w:lang w:val="en-US" w:eastAsia="zh-CN" w:bidi="ar"/>
              </w:rPr>
              <w:t>（</w:t>
            </w:r>
            <w:r>
              <w:rPr>
                <w:rStyle w:val="10"/>
                <w:rFonts w:eastAsia="宋体"/>
                <w:sz w:val="22"/>
                <w:szCs w:val="22"/>
                <w:lang w:val="en-US" w:eastAsia="zh-CN" w:bidi="ar"/>
              </w:rPr>
              <w:t>2021</w:t>
            </w:r>
            <w:r>
              <w:rPr>
                <w:rStyle w:val="9"/>
                <w:rFonts w:hAnsi="Times New Roman"/>
                <w:sz w:val="22"/>
                <w:szCs w:val="22"/>
                <w:lang w:val="en-US" w:eastAsia="zh-CN" w:bidi="ar"/>
              </w:rPr>
              <w:t>年度）</w:t>
            </w:r>
            <w:r>
              <w:rPr>
                <w:rStyle w:val="10"/>
                <w:rFonts w:eastAsia="宋体"/>
                <w:sz w:val="22"/>
                <w:szCs w:val="22"/>
                <w:lang w:val="en-US" w:eastAsia="zh-CN" w:bidi="ar"/>
              </w:rPr>
              <w:t xml:space="preserve">                                 </w:t>
            </w:r>
            <w:r>
              <w:rPr>
                <w:rStyle w:val="10"/>
                <w:rFonts w:hint="eastAsia"/>
                <w:sz w:val="22"/>
                <w:szCs w:val="22"/>
                <w:lang w:val="en-US" w:eastAsia="zh-CN" w:bidi="ar"/>
              </w:rPr>
              <w:t xml:space="preserve">  </w:t>
            </w:r>
            <w:r>
              <w:rPr>
                <w:rStyle w:val="10"/>
                <w:rFonts w:eastAsia="宋体"/>
                <w:sz w:val="22"/>
                <w:szCs w:val="22"/>
                <w:lang w:val="en-US" w:eastAsia="zh-CN" w:bidi="ar"/>
              </w:rPr>
              <w:t xml:space="preserve">  </w:t>
            </w:r>
            <w:r>
              <w:rPr>
                <w:rStyle w:val="9"/>
                <w:rFonts w:hAnsi="Times New Roman"/>
                <w:sz w:val="22"/>
                <w:szCs w:val="22"/>
                <w:lang w:val="en-US" w:eastAsia="zh-CN" w:bidi="ar"/>
              </w:rPr>
              <w:t>金额单位：万元</w:t>
            </w:r>
          </w:p>
        </w:tc>
      </w:tr>
      <w:tr>
        <w:tblPrEx>
          <w:tblLayout w:type="fixed"/>
          <w:tblCellMar>
            <w:top w:w="0" w:type="dxa"/>
            <w:left w:w="0" w:type="dxa"/>
            <w:bottom w:w="0" w:type="dxa"/>
            <w:right w:w="0" w:type="dxa"/>
          </w:tblCellMar>
        </w:tblPrEx>
        <w:trPr>
          <w:gridAfter w:val="1"/>
          <w:wAfter w:w="178" w:type="dxa"/>
          <w:trHeight w:val="420" w:hRule="atLeast"/>
        </w:trPr>
        <w:tc>
          <w:tcPr>
            <w:tcW w:w="908"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5052" w:type="dxa"/>
            <w:gridSpan w:val="7"/>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县级法定计量检定机构能力提升</w:t>
            </w:r>
          </w:p>
        </w:tc>
        <w:tc>
          <w:tcPr>
            <w:tcW w:w="240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项目负责人</w:t>
            </w:r>
          </w:p>
        </w:tc>
        <w:tc>
          <w:tcPr>
            <w:tcW w:w="4622" w:type="dxa"/>
            <w:gridSpan w:val="6"/>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陶亚娟</w:t>
            </w:r>
          </w:p>
        </w:tc>
      </w:tr>
      <w:tr>
        <w:tblPrEx>
          <w:tblLayout w:type="fixed"/>
          <w:tblCellMar>
            <w:top w:w="0" w:type="dxa"/>
            <w:left w:w="0" w:type="dxa"/>
            <w:bottom w:w="0" w:type="dxa"/>
            <w:right w:w="0" w:type="dxa"/>
          </w:tblCellMar>
        </w:tblPrEx>
        <w:trPr>
          <w:gridAfter w:val="1"/>
          <w:wAfter w:w="178" w:type="dxa"/>
          <w:trHeight w:val="450" w:hRule="atLeast"/>
        </w:trPr>
        <w:tc>
          <w:tcPr>
            <w:tcW w:w="908"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20"/>
                <w:szCs w:val="20"/>
                <w:u w:val="none"/>
                <w:lang w:val="en-US" w:eastAsia="zh-CN" w:bidi="ar"/>
              </w:rPr>
              <w:t>预算单位</w:t>
            </w:r>
          </w:p>
        </w:tc>
        <w:tc>
          <w:tcPr>
            <w:tcW w:w="5052" w:type="dxa"/>
            <w:gridSpan w:val="7"/>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兰溪市产品商品质量检测研究院</w:t>
            </w:r>
          </w:p>
        </w:tc>
        <w:tc>
          <w:tcPr>
            <w:tcW w:w="240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主管部门</w:t>
            </w:r>
          </w:p>
        </w:tc>
        <w:tc>
          <w:tcPr>
            <w:tcW w:w="4622" w:type="dxa"/>
            <w:gridSpan w:val="6"/>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兰溪市市场监督管理局</w:t>
            </w:r>
          </w:p>
        </w:tc>
      </w:tr>
      <w:tr>
        <w:tblPrEx>
          <w:tblLayout w:type="fixed"/>
          <w:tblCellMar>
            <w:top w:w="0" w:type="dxa"/>
            <w:left w:w="0" w:type="dxa"/>
            <w:bottom w:w="0" w:type="dxa"/>
            <w:right w:w="0" w:type="dxa"/>
          </w:tblCellMar>
        </w:tblPrEx>
        <w:trPr>
          <w:gridAfter w:val="1"/>
          <w:wAfter w:w="178" w:type="dxa"/>
          <w:trHeight w:val="270" w:hRule="atLeast"/>
        </w:trPr>
        <w:tc>
          <w:tcPr>
            <w:tcW w:w="908"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项目资金</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（万元）</w:t>
            </w:r>
          </w:p>
        </w:tc>
        <w:tc>
          <w:tcPr>
            <w:tcW w:w="2392" w:type="dxa"/>
            <w:gridSpan w:val="5"/>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资金来源</w:t>
            </w:r>
          </w:p>
        </w:tc>
        <w:tc>
          <w:tcPr>
            <w:tcW w:w="2660" w:type="dxa"/>
            <w:gridSpan w:val="2"/>
            <w:vMerge w:val="restart"/>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年初预算数</w:t>
            </w:r>
          </w:p>
        </w:tc>
        <w:tc>
          <w:tcPr>
            <w:tcW w:w="240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全年预算数</w:t>
            </w:r>
          </w:p>
        </w:tc>
        <w:tc>
          <w:tcPr>
            <w:tcW w:w="1280" w:type="dxa"/>
            <w:gridSpan w:val="4"/>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全年执行数</w:t>
            </w:r>
          </w:p>
        </w:tc>
        <w:tc>
          <w:tcPr>
            <w:tcW w:w="3342"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执行率</w:t>
            </w:r>
          </w:p>
        </w:tc>
      </w:tr>
      <w:tr>
        <w:tblPrEx>
          <w:tblLayout w:type="fixed"/>
          <w:tblCellMar>
            <w:top w:w="0" w:type="dxa"/>
            <w:left w:w="0" w:type="dxa"/>
            <w:bottom w:w="0" w:type="dxa"/>
            <w:right w:w="0" w:type="dxa"/>
          </w:tblCellMar>
        </w:tblPrEx>
        <w:trPr>
          <w:gridAfter w:val="1"/>
          <w:wAfter w:w="178" w:type="dxa"/>
          <w:trHeight w:val="285" w:hRule="atLeast"/>
        </w:trPr>
        <w:tc>
          <w:tcPr>
            <w:tcW w:w="908" w:type="dxa"/>
            <w:gridSpan w:val="3"/>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92" w:type="dxa"/>
            <w:gridSpan w:val="5"/>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2660" w:type="dxa"/>
            <w:gridSpan w:val="2"/>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40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11"/>
                <w:lang w:val="en-US" w:eastAsia="zh-CN" w:bidi="ar"/>
              </w:rPr>
              <w:t>（</w:t>
            </w:r>
            <w:r>
              <w:rPr>
                <w:rStyle w:val="12"/>
                <w:rFonts w:eastAsia="宋体"/>
                <w:lang w:val="en-US" w:eastAsia="zh-CN" w:bidi="ar"/>
              </w:rPr>
              <w:t>A</w:t>
            </w:r>
            <w:r>
              <w:rPr>
                <w:rStyle w:val="11"/>
                <w:lang w:val="en-US" w:eastAsia="zh-CN" w:bidi="ar"/>
              </w:rPr>
              <w:t>）</w:t>
            </w:r>
          </w:p>
        </w:tc>
        <w:tc>
          <w:tcPr>
            <w:tcW w:w="1280" w:type="dxa"/>
            <w:gridSpan w:val="4"/>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11"/>
                <w:lang w:val="en-US" w:eastAsia="zh-CN" w:bidi="ar"/>
              </w:rPr>
              <w:t>（</w:t>
            </w:r>
            <w:r>
              <w:rPr>
                <w:rStyle w:val="12"/>
                <w:rFonts w:eastAsia="宋体"/>
                <w:lang w:val="en-US" w:eastAsia="zh-CN" w:bidi="ar"/>
              </w:rPr>
              <w:t>B</w:t>
            </w:r>
            <w:r>
              <w:rPr>
                <w:rStyle w:val="11"/>
                <w:lang w:val="en-US" w:eastAsia="zh-CN" w:bidi="ar"/>
              </w:rPr>
              <w:t>）</w:t>
            </w:r>
          </w:p>
        </w:tc>
        <w:tc>
          <w:tcPr>
            <w:tcW w:w="3342"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11"/>
                <w:lang w:val="en-US" w:eastAsia="zh-CN" w:bidi="ar"/>
              </w:rPr>
              <w:t>（</w:t>
            </w:r>
            <w:r>
              <w:rPr>
                <w:rStyle w:val="12"/>
                <w:rFonts w:eastAsia="宋体"/>
                <w:lang w:val="en-US" w:eastAsia="zh-CN" w:bidi="ar"/>
              </w:rPr>
              <w:t>B/A</w:t>
            </w:r>
            <w:r>
              <w:rPr>
                <w:rStyle w:val="11"/>
                <w:lang w:val="en-US" w:eastAsia="zh-CN" w:bidi="ar"/>
              </w:rPr>
              <w:t>）</w:t>
            </w:r>
          </w:p>
        </w:tc>
      </w:tr>
      <w:tr>
        <w:tblPrEx>
          <w:tblLayout w:type="fixed"/>
          <w:tblCellMar>
            <w:top w:w="0" w:type="dxa"/>
            <w:left w:w="0" w:type="dxa"/>
            <w:bottom w:w="0" w:type="dxa"/>
            <w:right w:w="0" w:type="dxa"/>
          </w:tblCellMar>
        </w:tblPrEx>
        <w:trPr>
          <w:gridAfter w:val="1"/>
          <w:wAfter w:w="178" w:type="dxa"/>
          <w:trHeight w:val="285" w:hRule="atLeast"/>
        </w:trPr>
        <w:tc>
          <w:tcPr>
            <w:tcW w:w="908" w:type="dxa"/>
            <w:gridSpan w:val="3"/>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92" w:type="dxa"/>
            <w:gridSpan w:val="5"/>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年度资金总额</w:t>
            </w:r>
          </w:p>
        </w:tc>
        <w:tc>
          <w:tcPr>
            <w:tcW w:w="266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c>
          <w:tcPr>
            <w:tcW w:w="240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36.61</w:t>
            </w:r>
          </w:p>
        </w:tc>
        <w:tc>
          <w:tcPr>
            <w:tcW w:w="1280" w:type="dxa"/>
            <w:gridSpan w:val="4"/>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36.61</w:t>
            </w:r>
          </w:p>
        </w:tc>
        <w:tc>
          <w:tcPr>
            <w:tcW w:w="3342"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r>
      <w:tr>
        <w:tblPrEx>
          <w:tblLayout w:type="fixed"/>
          <w:tblCellMar>
            <w:top w:w="0" w:type="dxa"/>
            <w:left w:w="0" w:type="dxa"/>
            <w:bottom w:w="0" w:type="dxa"/>
            <w:right w:w="0" w:type="dxa"/>
          </w:tblCellMar>
        </w:tblPrEx>
        <w:trPr>
          <w:gridAfter w:val="1"/>
          <w:wAfter w:w="178" w:type="dxa"/>
          <w:trHeight w:val="285" w:hRule="atLeast"/>
        </w:trPr>
        <w:tc>
          <w:tcPr>
            <w:tcW w:w="908" w:type="dxa"/>
            <w:gridSpan w:val="3"/>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92" w:type="dxa"/>
            <w:gridSpan w:val="5"/>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其中：一般公共预算本级资金</w:t>
            </w:r>
          </w:p>
        </w:tc>
        <w:tc>
          <w:tcPr>
            <w:tcW w:w="266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c>
          <w:tcPr>
            <w:tcW w:w="240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36.61</w:t>
            </w:r>
          </w:p>
        </w:tc>
        <w:tc>
          <w:tcPr>
            <w:tcW w:w="1280" w:type="dxa"/>
            <w:gridSpan w:val="4"/>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36.61</w:t>
            </w:r>
          </w:p>
        </w:tc>
        <w:tc>
          <w:tcPr>
            <w:tcW w:w="3342"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100.0%</w:t>
            </w:r>
          </w:p>
        </w:tc>
      </w:tr>
      <w:tr>
        <w:tblPrEx>
          <w:tblLayout w:type="fixed"/>
          <w:tblCellMar>
            <w:top w:w="0" w:type="dxa"/>
            <w:left w:w="0" w:type="dxa"/>
            <w:bottom w:w="0" w:type="dxa"/>
            <w:right w:w="0" w:type="dxa"/>
          </w:tblCellMar>
        </w:tblPrEx>
        <w:trPr>
          <w:gridAfter w:val="1"/>
          <w:wAfter w:w="178" w:type="dxa"/>
          <w:trHeight w:val="285" w:hRule="atLeast"/>
        </w:trPr>
        <w:tc>
          <w:tcPr>
            <w:tcW w:w="908" w:type="dxa"/>
            <w:gridSpan w:val="3"/>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92" w:type="dxa"/>
            <w:gridSpan w:val="5"/>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一般公共预算上级资金</w:t>
            </w:r>
          </w:p>
        </w:tc>
        <w:tc>
          <w:tcPr>
            <w:tcW w:w="266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c>
          <w:tcPr>
            <w:tcW w:w="240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c>
          <w:tcPr>
            <w:tcW w:w="1280" w:type="dxa"/>
            <w:gridSpan w:val="4"/>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c>
          <w:tcPr>
            <w:tcW w:w="3342"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r>
      <w:tr>
        <w:tblPrEx>
          <w:tblLayout w:type="fixed"/>
          <w:tblCellMar>
            <w:top w:w="0" w:type="dxa"/>
            <w:left w:w="0" w:type="dxa"/>
            <w:bottom w:w="0" w:type="dxa"/>
            <w:right w:w="0" w:type="dxa"/>
          </w:tblCellMar>
        </w:tblPrEx>
        <w:trPr>
          <w:gridAfter w:val="1"/>
          <w:wAfter w:w="178" w:type="dxa"/>
          <w:trHeight w:val="285" w:hRule="atLeast"/>
        </w:trPr>
        <w:tc>
          <w:tcPr>
            <w:tcW w:w="908" w:type="dxa"/>
            <w:gridSpan w:val="3"/>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392" w:type="dxa"/>
            <w:gridSpan w:val="5"/>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其他资金</w:t>
            </w:r>
          </w:p>
        </w:tc>
        <w:tc>
          <w:tcPr>
            <w:tcW w:w="266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c>
          <w:tcPr>
            <w:tcW w:w="240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c>
          <w:tcPr>
            <w:tcW w:w="1280" w:type="dxa"/>
            <w:gridSpan w:val="4"/>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c>
          <w:tcPr>
            <w:tcW w:w="3342"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r>
      <w:tr>
        <w:tblPrEx>
          <w:tblLayout w:type="fixed"/>
          <w:tblCellMar>
            <w:top w:w="0" w:type="dxa"/>
            <w:left w:w="0" w:type="dxa"/>
            <w:bottom w:w="0" w:type="dxa"/>
            <w:right w:w="0" w:type="dxa"/>
          </w:tblCellMar>
        </w:tblPrEx>
        <w:trPr>
          <w:gridAfter w:val="1"/>
          <w:wAfter w:w="178" w:type="dxa"/>
          <w:trHeight w:val="282" w:hRule="atLeast"/>
        </w:trPr>
        <w:tc>
          <w:tcPr>
            <w:tcW w:w="908"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年度总体目标</w:t>
            </w:r>
          </w:p>
        </w:tc>
        <w:tc>
          <w:tcPr>
            <w:tcW w:w="5052" w:type="dxa"/>
            <w:gridSpan w:val="7"/>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预期目标</w:t>
            </w:r>
          </w:p>
        </w:tc>
        <w:tc>
          <w:tcPr>
            <w:tcW w:w="7022" w:type="dxa"/>
            <w:gridSpan w:val="8"/>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实际完成情况</w:t>
            </w:r>
          </w:p>
        </w:tc>
      </w:tr>
      <w:tr>
        <w:tblPrEx>
          <w:tblLayout w:type="fixed"/>
          <w:tblCellMar>
            <w:top w:w="0" w:type="dxa"/>
            <w:left w:w="0" w:type="dxa"/>
            <w:bottom w:w="0" w:type="dxa"/>
            <w:right w:w="0" w:type="dxa"/>
          </w:tblCellMar>
        </w:tblPrEx>
        <w:trPr>
          <w:gridAfter w:val="1"/>
          <w:wAfter w:w="178" w:type="dxa"/>
          <w:trHeight w:val="1155" w:hRule="atLeast"/>
        </w:trPr>
        <w:tc>
          <w:tcPr>
            <w:tcW w:w="908" w:type="dxa"/>
            <w:gridSpan w:val="3"/>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052" w:type="dxa"/>
            <w:gridSpan w:val="7"/>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根据浙市监计[2020]16号文件精神要求：</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①所需3套设备按照合同及时到位，并在年内安装、验收、正常运行；</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②全面推行数字化建设，对原有计量系统进行升级。</w:t>
            </w:r>
          </w:p>
        </w:tc>
        <w:tc>
          <w:tcPr>
            <w:tcW w:w="7022" w:type="dxa"/>
            <w:gridSpan w:val="8"/>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①所需3套设备于2021年底前全部到位，并安装、验收、运行；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②2021年底前对原有计量系统进行了升级。</w:t>
            </w:r>
          </w:p>
        </w:tc>
      </w:tr>
      <w:tr>
        <w:tblPrEx>
          <w:tblLayout w:type="fixed"/>
          <w:tblCellMar>
            <w:top w:w="0" w:type="dxa"/>
            <w:left w:w="0" w:type="dxa"/>
            <w:bottom w:w="0" w:type="dxa"/>
            <w:right w:w="0" w:type="dxa"/>
          </w:tblCellMar>
        </w:tblPrEx>
        <w:trPr>
          <w:gridAfter w:val="1"/>
          <w:wAfter w:w="178" w:type="dxa"/>
          <w:trHeight w:val="360" w:hRule="atLeast"/>
        </w:trPr>
        <w:tc>
          <w:tcPr>
            <w:tcW w:w="440" w:type="dxa"/>
            <w:vMerge w:val="restart"/>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绩效指标100分</w:t>
            </w:r>
          </w:p>
        </w:tc>
        <w:tc>
          <w:tcPr>
            <w:tcW w:w="468"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一级指标</w:t>
            </w:r>
          </w:p>
        </w:tc>
        <w:tc>
          <w:tcPr>
            <w:tcW w:w="525" w:type="dxa"/>
            <w:gridSpan w:val="3"/>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二级指标</w:t>
            </w:r>
          </w:p>
        </w:tc>
        <w:tc>
          <w:tcPr>
            <w:tcW w:w="1867"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266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年度指标值</w:t>
            </w:r>
          </w:p>
        </w:tc>
        <w:tc>
          <w:tcPr>
            <w:tcW w:w="240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实际完成值</w:t>
            </w:r>
          </w:p>
        </w:tc>
        <w:tc>
          <w:tcPr>
            <w:tcW w:w="66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权重</w:t>
            </w:r>
          </w:p>
        </w:tc>
        <w:tc>
          <w:tcPr>
            <w:tcW w:w="62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得分</w:t>
            </w:r>
          </w:p>
        </w:tc>
        <w:tc>
          <w:tcPr>
            <w:tcW w:w="3342"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偏差原因分析及改进措施</w:t>
            </w:r>
          </w:p>
        </w:tc>
      </w:tr>
      <w:tr>
        <w:tblPrEx>
          <w:tblLayout w:type="fixed"/>
          <w:tblCellMar>
            <w:top w:w="0" w:type="dxa"/>
            <w:left w:w="0" w:type="dxa"/>
            <w:bottom w:w="0" w:type="dxa"/>
            <w:right w:w="0" w:type="dxa"/>
          </w:tblCellMar>
        </w:tblPrEx>
        <w:trPr>
          <w:gridAfter w:val="1"/>
          <w:wAfter w:w="178" w:type="dxa"/>
          <w:trHeight w:val="420" w:hRule="atLeast"/>
        </w:trPr>
        <w:tc>
          <w:tcPr>
            <w:tcW w:w="44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68" w:type="dxa"/>
            <w:gridSpan w:val="2"/>
            <w:vMerge w:val="restart"/>
            <w:tcBorders>
              <w:top w:val="nil"/>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产出指标(50分)</w:t>
            </w:r>
          </w:p>
        </w:tc>
        <w:tc>
          <w:tcPr>
            <w:tcW w:w="525" w:type="dxa"/>
            <w:gridSpan w:val="3"/>
            <w:vMerge w:val="restart"/>
            <w:tcBorders>
              <w:top w:val="nil"/>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数量指标</w:t>
            </w:r>
          </w:p>
        </w:tc>
        <w:tc>
          <w:tcPr>
            <w:tcW w:w="1867"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检测设备数量</w:t>
            </w:r>
          </w:p>
        </w:tc>
        <w:tc>
          <w:tcPr>
            <w:tcW w:w="266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w:t>
            </w:r>
            <w:r>
              <w:rPr>
                <w:rStyle w:val="13"/>
                <w:lang w:val="en-US" w:eastAsia="zh-CN" w:bidi="ar"/>
              </w:rPr>
              <w:t>台（套）</w:t>
            </w:r>
            <w:r>
              <w:rPr>
                <w:rStyle w:val="14"/>
                <w:rFonts w:eastAsia="宋体"/>
                <w:lang w:val="en-US" w:eastAsia="zh-CN" w:bidi="ar"/>
              </w:rPr>
              <w:t>+</w:t>
            </w:r>
            <w:r>
              <w:rPr>
                <w:rStyle w:val="13"/>
                <w:lang w:val="en-US" w:eastAsia="zh-CN" w:bidi="ar"/>
              </w:rPr>
              <w:t>计量系统升级</w:t>
            </w:r>
          </w:p>
        </w:tc>
        <w:tc>
          <w:tcPr>
            <w:tcW w:w="240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w:t>
            </w:r>
            <w:r>
              <w:rPr>
                <w:rStyle w:val="13"/>
                <w:lang w:val="en-US" w:eastAsia="zh-CN" w:bidi="ar"/>
              </w:rPr>
              <w:t>台（套）</w:t>
            </w:r>
            <w:r>
              <w:rPr>
                <w:rStyle w:val="14"/>
                <w:rFonts w:eastAsia="宋体"/>
                <w:lang w:val="en-US" w:eastAsia="zh-CN" w:bidi="ar"/>
              </w:rPr>
              <w:t>+</w:t>
            </w:r>
            <w:r>
              <w:rPr>
                <w:rStyle w:val="13"/>
                <w:lang w:val="en-US" w:eastAsia="zh-CN" w:bidi="ar"/>
              </w:rPr>
              <w:t>计量系统升级</w:t>
            </w:r>
          </w:p>
        </w:tc>
        <w:tc>
          <w:tcPr>
            <w:tcW w:w="66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w:t>
            </w:r>
          </w:p>
        </w:tc>
        <w:tc>
          <w:tcPr>
            <w:tcW w:w="62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w:t>
            </w:r>
          </w:p>
        </w:tc>
        <w:tc>
          <w:tcPr>
            <w:tcW w:w="3342"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r>
      <w:tr>
        <w:tblPrEx>
          <w:tblLayout w:type="fixed"/>
          <w:tblCellMar>
            <w:top w:w="0" w:type="dxa"/>
            <w:left w:w="0" w:type="dxa"/>
            <w:bottom w:w="0" w:type="dxa"/>
            <w:right w:w="0" w:type="dxa"/>
          </w:tblCellMar>
        </w:tblPrEx>
        <w:trPr>
          <w:gridAfter w:val="1"/>
          <w:wAfter w:w="178" w:type="dxa"/>
          <w:trHeight w:val="420" w:hRule="atLeast"/>
        </w:trPr>
        <w:tc>
          <w:tcPr>
            <w:tcW w:w="44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68" w:type="dxa"/>
            <w:gridSpan w:val="2"/>
            <w:vMerge w:val="continue"/>
            <w:tcBorders>
              <w:top w:val="nil"/>
              <w:left w:val="single" w:color="auto" w:sz="4" w:space="0"/>
              <w:bottom w:val="nil"/>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5" w:type="dxa"/>
            <w:gridSpan w:val="3"/>
            <w:vMerge w:val="continue"/>
            <w:tcBorders>
              <w:top w:val="nil"/>
              <w:left w:val="single" w:color="auto" w:sz="4" w:space="0"/>
              <w:bottom w:val="nil"/>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867"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合同执行率</w:t>
            </w:r>
          </w:p>
        </w:tc>
        <w:tc>
          <w:tcPr>
            <w:tcW w:w="266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w:t>
            </w:r>
          </w:p>
        </w:tc>
        <w:tc>
          <w:tcPr>
            <w:tcW w:w="240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w:t>
            </w:r>
          </w:p>
        </w:tc>
        <w:tc>
          <w:tcPr>
            <w:tcW w:w="66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62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3342"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r>
      <w:tr>
        <w:tblPrEx>
          <w:tblLayout w:type="fixed"/>
          <w:tblCellMar>
            <w:top w:w="0" w:type="dxa"/>
            <w:left w:w="0" w:type="dxa"/>
            <w:bottom w:w="0" w:type="dxa"/>
            <w:right w:w="0" w:type="dxa"/>
          </w:tblCellMar>
        </w:tblPrEx>
        <w:trPr>
          <w:gridAfter w:val="1"/>
          <w:wAfter w:w="178" w:type="dxa"/>
          <w:trHeight w:val="1600" w:hRule="atLeast"/>
        </w:trPr>
        <w:tc>
          <w:tcPr>
            <w:tcW w:w="44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68" w:type="dxa"/>
            <w:gridSpan w:val="2"/>
            <w:vMerge w:val="continue"/>
            <w:tcBorders>
              <w:top w:val="nil"/>
              <w:left w:val="single" w:color="auto" w:sz="4" w:space="0"/>
              <w:bottom w:val="nil"/>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5" w:type="dxa"/>
            <w:gridSpan w:val="3"/>
            <w:vMerge w:val="restart"/>
            <w:tcBorders>
              <w:top w:val="single" w:color="auto" w:sz="4" w:space="0"/>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质量指标</w:t>
            </w:r>
          </w:p>
        </w:tc>
        <w:tc>
          <w:tcPr>
            <w:tcW w:w="1867"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质量标准及性能要求</w:t>
            </w:r>
          </w:p>
        </w:tc>
        <w:tc>
          <w:tcPr>
            <w:tcW w:w="266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    </w:t>
            </w:r>
            <w:r>
              <w:rPr>
                <w:rStyle w:val="13"/>
                <w:lang w:val="en-US" w:eastAsia="zh-CN" w:bidi="ar"/>
              </w:rPr>
              <w:t>原厂生产、全新未使用过的设备，并完全符合原厂质量检测标准（以说明书为准）和国家质量检测标准及合同规定的各项性能要求。</w:t>
            </w:r>
            <w:r>
              <w:rPr>
                <w:rStyle w:val="13"/>
                <w:lang w:val="en-US" w:eastAsia="zh-CN" w:bidi="ar"/>
              </w:rPr>
              <w:br w:type="textWrapping"/>
            </w:r>
            <w:r>
              <w:rPr>
                <w:rStyle w:val="14"/>
                <w:rFonts w:eastAsia="宋体"/>
                <w:lang w:val="en-US" w:eastAsia="zh-CN" w:bidi="ar"/>
              </w:rPr>
              <w:t xml:space="preserve">    </w:t>
            </w:r>
            <w:r>
              <w:rPr>
                <w:rStyle w:val="13"/>
                <w:lang w:val="en-US" w:eastAsia="zh-CN" w:bidi="ar"/>
              </w:rPr>
              <w:t>计量系统升级后符合合同中的相关技术要求。</w:t>
            </w:r>
          </w:p>
        </w:tc>
        <w:tc>
          <w:tcPr>
            <w:tcW w:w="240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设备符合相关质量标准和技术、性能要求。</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计量系统升级后符合合同中的相关技术要求，并与“浙里检”卡口相连。</w:t>
            </w:r>
          </w:p>
        </w:tc>
        <w:tc>
          <w:tcPr>
            <w:tcW w:w="66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w:t>
            </w:r>
          </w:p>
        </w:tc>
        <w:tc>
          <w:tcPr>
            <w:tcW w:w="62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w:t>
            </w:r>
          </w:p>
        </w:tc>
        <w:tc>
          <w:tcPr>
            <w:tcW w:w="3342"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r>
      <w:tr>
        <w:tblPrEx>
          <w:tblLayout w:type="fixed"/>
          <w:tblCellMar>
            <w:top w:w="0" w:type="dxa"/>
            <w:left w:w="0" w:type="dxa"/>
            <w:bottom w:w="0" w:type="dxa"/>
            <w:right w:w="0" w:type="dxa"/>
          </w:tblCellMar>
        </w:tblPrEx>
        <w:trPr>
          <w:gridAfter w:val="1"/>
          <w:wAfter w:w="178" w:type="dxa"/>
          <w:trHeight w:val="420" w:hRule="atLeast"/>
        </w:trPr>
        <w:tc>
          <w:tcPr>
            <w:tcW w:w="44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68" w:type="dxa"/>
            <w:gridSpan w:val="2"/>
            <w:vMerge w:val="continue"/>
            <w:tcBorders>
              <w:top w:val="nil"/>
              <w:left w:val="single" w:color="auto" w:sz="4" w:space="0"/>
              <w:bottom w:val="nil"/>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5" w:type="dxa"/>
            <w:gridSpan w:val="3"/>
            <w:vMerge w:val="continue"/>
            <w:tcBorders>
              <w:top w:val="single" w:color="auto" w:sz="4" w:space="0"/>
              <w:left w:val="single" w:color="auto" w:sz="4" w:space="0"/>
              <w:bottom w:val="nil"/>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867"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产品合格率</w:t>
            </w:r>
          </w:p>
        </w:tc>
        <w:tc>
          <w:tcPr>
            <w:tcW w:w="266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w:t>
            </w:r>
          </w:p>
        </w:tc>
        <w:tc>
          <w:tcPr>
            <w:tcW w:w="240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w:t>
            </w:r>
          </w:p>
        </w:tc>
        <w:tc>
          <w:tcPr>
            <w:tcW w:w="66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62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3342"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r>
      <w:tr>
        <w:tblPrEx>
          <w:tblLayout w:type="fixed"/>
          <w:tblCellMar>
            <w:top w:w="0" w:type="dxa"/>
            <w:left w:w="0" w:type="dxa"/>
            <w:bottom w:w="0" w:type="dxa"/>
            <w:right w:w="0" w:type="dxa"/>
          </w:tblCellMar>
        </w:tblPrEx>
        <w:trPr>
          <w:trHeight w:val="420" w:hRule="atLeast"/>
        </w:trPr>
        <w:tc>
          <w:tcPr>
            <w:tcW w:w="617" w:type="dxa"/>
            <w:gridSpan w:val="2"/>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81" w:type="dxa"/>
            <w:gridSpan w:val="2"/>
            <w:tcBorders>
              <w:top w:val="nil"/>
              <w:left w:val="single" w:color="auto" w:sz="4" w:space="0"/>
              <w:bottom w:val="nil"/>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5" w:type="dxa"/>
            <w:gridSpan w:val="3"/>
            <w:vMerge w:val="restart"/>
            <w:tcBorders>
              <w:top w:val="single" w:color="auto" w:sz="4" w:space="0"/>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时效指标</w:t>
            </w:r>
          </w:p>
        </w:tc>
        <w:tc>
          <w:tcPr>
            <w:tcW w:w="1955"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设备软件购置完成时间</w:t>
            </w:r>
          </w:p>
        </w:tc>
        <w:tc>
          <w:tcPr>
            <w:tcW w:w="266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2021</w:t>
            </w:r>
            <w:r>
              <w:rPr>
                <w:rStyle w:val="13"/>
                <w:lang w:val="en-US" w:eastAsia="zh-CN" w:bidi="ar"/>
              </w:rPr>
              <w:t>年</w:t>
            </w:r>
            <w:r>
              <w:rPr>
                <w:rStyle w:val="14"/>
                <w:rFonts w:eastAsia="宋体"/>
                <w:lang w:val="en-US" w:eastAsia="zh-CN" w:bidi="ar"/>
              </w:rPr>
              <w:t>12</w:t>
            </w:r>
            <w:r>
              <w:rPr>
                <w:rStyle w:val="13"/>
                <w:lang w:val="en-US" w:eastAsia="zh-CN" w:bidi="ar"/>
              </w:rPr>
              <w:t>月</w:t>
            </w:r>
            <w:r>
              <w:rPr>
                <w:rStyle w:val="14"/>
                <w:rFonts w:eastAsia="宋体"/>
                <w:lang w:val="en-US" w:eastAsia="zh-CN" w:bidi="ar"/>
              </w:rPr>
              <w:t>10</w:t>
            </w:r>
            <w:r>
              <w:rPr>
                <w:rStyle w:val="13"/>
                <w:lang w:val="en-US" w:eastAsia="zh-CN" w:bidi="ar"/>
              </w:rPr>
              <w:t>日前</w:t>
            </w:r>
          </w:p>
        </w:tc>
        <w:tc>
          <w:tcPr>
            <w:tcW w:w="240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2021年9月</w:t>
            </w:r>
          </w:p>
        </w:tc>
        <w:tc>
          <w:tcPr>
            <w:tcW w:w="66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62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3342"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r>
      <w:tr>
        <w:tblPrEx>
          <w:tblLayout w:type="fixed"/>
          <w:tblCellMar>
            <w:top w:w="0" w:type="dxa"/>
            <w:left w:w="0" w:type="dxa"/>
            <w:bottom w:w="0" w:type="dxa"/>
            <w:right w:w="0" w:type="dxa"/>
          </w:tblCellMar>
        </w:tblPrEx>
        <w:trPr>
          <w:trHeight w:val="420" w:hRule="atLeast"/>
        </w:trPr>
        <w:tc>
          <w:tcPr>
            <w:tcW w:w="617" w:type="dxa"/>
            <w:gridSpan w:val="2"/>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81" w:type="dxa"/>
            <w:gridSpan w:val="2"/>
            <w:tcBorders>
              <w:top w:val="nil"/>
              <w:left w:val="single" w:color="auto" w:sz="4" w:space="0"/>
              <w:bottom w:val="nil"/>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5" w:type="dxa"/>
            <w:gridSpan w:val="3"/>
            <w:vMerge w:val="continue"/>
            <w:tcBorders>
              <w:top w:val="single" w:color="auto" w:sz="4" w:space="0"/>
              <w:left w:val="single" w:color="auto" w:sz="4" w:space="0"/>
              <w:bottom w:val="nil"/>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955"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设备使用年限</w:t>
            </w:r>
          </w:p>
        </w:tc>
        <w:tc>
          <w:tcPr>
            <w:tcW w:w="266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lang w:val="en-US" w:eastAsia="zh-CN" w:bidi="ar"/>
              </w:rPr>
              <w:t>大于</w:t>
            </w:r>
            <w:r>
              <w:rPr>
                <w:rStyle w:val="14"/>
                <w:rFonts w:eastAsia="宋体"/>
                <w:lang w:val="en-US" w:eastAsia="zh-CN" w:bidi="ar"/>
              </w:rPr>
              <w:t>10</w:t>
            </w:r>
            <w:r>
              <w:rPr>
                <w:rStyle w:val="13"/>
                <w:lang w:val="en-US" w:eastAsia="zh-CN" w:bidi="ar"/>
              </w:rPr>
              <w:t>年</w:t>
            </w:r>
          </w:p>
        </w:tc>
        <w:tc>
          <w:tcPr>
            <w:tcW w:w="240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≥10年</w:t>
            </w:r>
          </w:p>
        </w:tc>
        <w:tc>
          <w:tcPr>
            <w:tcW w:w="66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62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3342"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r>
      <w:tr>
        <w:tblPrEx>
          <w:tblLayout w:type="fixed"/>
          <w:tblCellMar>
            <w:top w:w="0" w:type="dxa"/>
            <w:left w:w="0" w:type="dxa"/>
            <w:bottom w:w="0" w:type="dxa"/>
            <w:right w:w="0" w:type="dxa"/>
          </w:tblCellMar>
        </w:tblPrEx>
        <w:trPr>
          <w:trHeight w:val="420" w:hRule="atLeast"/>
        </w:trPr>
        <w:tc>
          <w:tcPr>
            <w:tcW w:w="617" w:type="dxa"/>
            <w:gridSpan w:val="2"/>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81" w:type="dxa"/>
            <w:gridSpan w:val="2"/>
            <w:tcBorders>
              <w:top w:val="nil"/>
              <w:left w:val="single" w:color="auto" w:sz="4" w:space="0"/>
              <w:bottom w:val="nil"/>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5" w:type="dxa"/>
            <w:gridSpan w:val="3"/>
            <w:tcBorders>
              <w:top w:val="single" w:color="auto" w:sz="4" w:space="0"/>
              <w:left w:val="nil"/>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成本指标</w:t>
            </w:r>
          </w:p>
        </w:tc>
        <w:tc>
          <w:tcPr>
            <w:tcW w:w="1955"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设备、软件购置价格</w:t>
            </w:r>
          </w:p>
        </w:tc>
        <w:tc>
          <w:tcPr>
            <w:tcW w:w="266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36.61</w:t>
            </w:r>
          </w:p>
        </w:tc>
        <w:tc>
          <w:tcPr>
            <w:tcW w:w="240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36.61</w:t>
            </w:r>
          </w:p>
        </w:tc>
        <w:tc>
          <w:tcPr>
            <w:tcW w:w="66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62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3342"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r>
      <w:tr>
        <w:tblPrEx>
          <w:tblLayout w:type="fixed"/>
          <w:tblCellMar>
            <w:top w:w="0" w:type="dxa"/>
            <w:left w:w="0" w:type="dxa"/>
            <w:bottom w:w="0" w:type="dxa"/>
            <w:right w:w="0" w:type="dxa"/>
          </w:tblCellMar>
        </w:tblPrEx>
        <w:trPr>
          <w:trHeight w:val="1320" w:hRule="atLeast"/>
        </w:trPr>
        <w:tc>
          <w:tcPr>
            <w:tcW w:w="617" w:type="dxa"/>
            <w:gridSpan w:val="2"/>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81"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效益指标(45分)</w:t>
            </w:r>
          </w:p>
        </w:tc>
        <w:tc>
          <w:tcPr>
            <w:tcW w:w="525"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经济效益指标</w:t>
            </w:r>
          </w:p>
        </w:tc>
        <w:tc>
          <w:tcPr>
            <w:tcW w:w="1955"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提高效率</w:t>
            </w:r>
          </w:p>
        </w:tc>
        <w:tc>
          <w:tcPr>
            <w:tcW w:w="266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采购先进的医疗仪器检测设备，实现本地医疗机构医疗仪器的就近检测，有效提高医疗机构医疗仪器的使用效率。</w:t>
            </w:r>
          </w:p>
        </w:tc>
        <w:tc>
          <w:tcPr>
            <w:tcW w:w="240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通过这套设备的运行，就近检测、就近服务，有效提高了兰溪医疗机构医疗仪器的使用效率。</w:t>
            </w:r>
          </w:p>
        </w:tc>
        <w:tc>
          <w:tcPr>
            <w:tcW w:w="66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w:t>
            </w:r>
          </w:p>
        </w:tc>
        <w:tc>
          <w:tcPr>
            <w:tcW w:w="62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w:t>
            </w:r>
          </w:p>
        </w:tc>
        <w:tc>
          <w:tcPr>
            <w:tcW w:w="3342"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由于设备当年采购、安装并运行，对地方医疗机构医疗仪器使用效率的促进作用还没有得到很好的体现。但随着这套设备的运行，效果会慢慢体现。</w:t>
            </w:r>
          </w:p>
        </w:tc>
      </w:tr>
      <w:tr>
        <w:tblPrEx>
          <w:tblLayout w:type="fixed"/>
          <w:tblCellMar>
            <w:top w:w="0" w:type="dxa"/>
            <w:left w:w="0" w:type="dxa"/>
            <w:bottom w:w="0" w:type="dxa"/>
            <w:right w:w="0" w:type="dxa"/>
          </w:tblCellMar>
        </w:tblPrEx>
        <w:trPr>
          <w:trHeight w:val="420" w:hRule="atLeast"/>
        </w:trPr>
        <w:tc>
          <w:tcPr>
            <w:tcW w:w="617" w:type="dxa"/>
            <w:gridSpan w:val="2"/>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81"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5" w:type="dxa"/>
            <w:gridSpan w:val="3"/>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955"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检测准确率</w:t>
            </w:r>
          </w:p>
        </w:tc>
        <w:tc>
          <w:tcPr>
            <w:tcW w:w="266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Style w:val="13"/>
                <w:lang w:val="en-US" w:eastAsia="zh-CN" w:bidi="ar"/>
              </w:rPr>
              <w:t>大于</w:t>
            </w:r>
            <w:r>
              <w:rPr>
                <w:rStyle w:val="14"/>
                <w:rFonts w:eastAsia="宋体"/>
                <w:lang w:val="en-US" w:eastAsia="zh-CN" w:bidi="ar"/>
              </w:rPr>
              <w:t>98.5%</w:t>
            </w:r>
          </w:p>
        </w:tc>
        <w:tc>
          <w:tcPr>
            <w:tcW w:w="240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15"/>
                <w:lang w:val="en-US" w:eastAsia="zh-CN" w:bidi="ar"/>
              </w:rPr>
              <w:t>≥98.5%</w:t>
            </w:r>
          </w:p>
        </w:tc>
        <w:tc>
          <w:tcPr>
            <w:tcW w:w="66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w:t>
            </w:r>
          </w:p>
        </w:tc>
        <w:tc>
          <w:tcPr>
            <w:tcW w:w="62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w:t>
            </w:r>
          </w:p>
        </w:tc>
        <w:tc>
          <w:tcPr>
            <w:tcW w:w="3342"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r>
      <w:tr>
        <w:tblPrEx>
          <w:tblLayout w:type="fixed"/>
          <w:tblCellMar>
            <w:top w:w="0" w:type="dxa"/>
            <w:left w:w="0" w:type="dxa"/>
            <w:bottom w:w="0" w:type="dxa"/>
            <w:right w:w="0" w:type="dxa"/>
          </w:tblCellMar>
        </w:tblPrEx>
        <w:trPr>
          <w:trHeight w:val="1275" w:hRule="atLeast"/>
        </w:trPr>
        <w:tc>
          <w:tcPr>
            <w:tcW w:w="617" w:type="dxa"/>
            <w:gridSpan w:val="2"/>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81"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5" w:type="dxa"/>
            <w:gridSpan w:val="3"/>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社会效益指标</w:t>
            </w:r>
          </w:p>
        </w:tc>
        <w:tc>
          <w:tcPr>
            <w:tcW w:w="1955"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对行业的发展和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推动作用</w:t>
            </w:r>
          </w:p>
        </w:tc>
        <w:tc>
          <w:tcPr>
            <w:tcW w:w="266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通过对医疗仪器检测项目的扩展和检测能力的提升，对于推动兰溪医疗事业的发展和保障人民群众的身体健康，具有重要的现实意义。</w:t>
            </w:r>
          </w:p>
        </w:tc>
        <w:tc>
          <w:tcPr>
            <w:tcW w:w="240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扩展了医疗仪器检测项目，提升了技术机构检测能力，有效助推了兰溪市医疗事业的发展。</w:t>
            </w:r>
          </w:p>
        </w:tc>
        <w:tc>
          <w:tcPr>
            <w:tcW w:w="66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w:t>
            </w:r>
          </w:p>
        </w:tc>
        <w:tc>
          <w:tcPr>
            <w:tcW w:w="62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w:t>
            </w:r>
          </w:p>
        </w:tc>
        <w:tc>
          <w:tcPr>
            <w:tcW w:w="3342"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r>
      <w:tr>
        <w:tblPrEx>
          <w:tblLayout w:type="fixed"/>
          <w:tblCellMar>
            <w:top w:w="0" w:type="dxa"/>
            <w:left w:w="0" w:type="dxa"/>
            <w:bottom w:w="0" w:type="dxa"/>
            <w:right w:w="0" w:type="dxa"/>
          </w:tblCellMar>
        </w:tblPrEx>
        <w:trPr>
          <w:trHeight w:val="840" w:hRule="atLeast"/>
        </w:trPr>
        <w:tc>
          <w:tcPr>
            <w:tcW w:w="617" w:type="dxa"/>
            <w:gridSpan w:val="2"/>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81"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25" w:type="dxa"/>
            <w:gridSpan w:val="3"/>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4"/>
                <w:szCs w:val="14"/>
                <w:u w:val="none"/>
              </w:rPr>
            </w:pPr>
            <w:r>
              <w:rPr>
                <w:rFonts w:hint="eastAsia" w:ascii="宋体" w:hAnsi="宋体" w:eastAsia="宋体" w:cs="宋体"/>
                <w:i w:val="0"/>
                <w:color w:val="000000"/>
                <w:kern w:val="0"/>
                <w:sz w:val="14"/>
                <w:szCs w:val="14"/>
                <w:u w:val="none"/>
                <w:lang w:val="en-US" w:eastAsia="zh-CN" w:bidi="ar"/>
              </w:rPr>
              <w:t>可持续影响指标</w:t>
            </w:r>
          </w:p>
        </w:tc>
        <w:tc>
          <w:tcPr>
            <w:tcW w:w="1955"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提升服务水平和能力</w:t>
            </w:r>
          </w:p>
        </w:tc>
        <w:tc>
          <w:tcPr>
            <w:tcW w:w="266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通过提升医疗仪器检测能力，提高技术机构的服务水平，为医疗机构提供更科学的检测数据。</w:t>
            </w:r>
          </w:p>
        </w:tc>
        <w:tc>
          <w:tcPr>
            <w:tcW w:w="240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为医疗机构提供更科学的检测数据，具有了一定的检测能力和服务水平。</w:t>
            </w:r>
          </w:p>
        </w:tc>
        <w:tc>
          <w:tcPr>
            <w:tcW w:w="66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w:t>
            </w:r>
          </w:p>
        </w:tc>
        <w:tc>
          <w:tcPr>
            <w:tcW w:w="62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w:t>
            </w:r>
          </w:p>
        </w:tc>
        <w:tc>
          <w:tcPr>
            <w:tcW w:w="3342"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设备刚刚投入运行，人员与设备正在磨合期，服务水平尚未完全体现</w:t>
            </w:r>
          </w:p>
        </w:tc>
      </w:tr>
      <w:tr>
        <w:tblPrEx>
          <w:tblLayout w:type="fixed"/>
          <w:tblCellMar>
            <w:top w:w="0" w:type="dxa"/>
            <w:left w:w="0" w:type="dxa"/>
            <w:bottom w:w="0" w:type="dxa"/>
            <w:right w:w="0" w:type="dxa"/>
          </w:tblCellMar>
        </w:tblPrEx>
        <w:trPr>
          <w:trHeight w:val="930" w:hRule="atLeast"/>
        </w:trPr>
        <w:tc>
          <w:tcPr>
            <w:tcW w:w="617" w:type="dxa"/>
            <w:gridSpan w:val="2"/>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81"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满意度指标(5分)</w:t>
            </w:r>
          </w:p>
        </w:tc>
        <w:tc>
          <w:tcPr>
            <w:tcW w:w="525" w:type="dxa"/>
            <w:gridSpan w:val="3"/>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服务对象等方面满意度指标</w:t>
            </w:r>
          </w:p>
        </w:tc>
        <w:tc>
          <w:tcPr>
            <w:tcW w:w="1955"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使用对象满意度</w:t>
            </w:r>
          </w:p>
        </w:tc>
        <w:tc>
          <w:tcPr>
            <w:tcW w:w="266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98.5%</w:t>
            </w:r>
          </w:p>
        </w:tc>
        <w:tc>
          <w:tcPr>
            <w:tcW w:w="240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98.5%</w:t>
            </w:r>
          </w:p>
        </w:tc>
        <w:tc>
          <w:tcPr>
            <w:tcW w:w="66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62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3342"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r>
      <w:tr>
        <w:tblPrEx>
          <w:tblLayout w:type="fixed"/>
          <w:tblCellMar>
            <w:top w:w="0" w:type="dxa"/>
            <w:left w:w="0" w:type="dxa"/>
            <w:bottom w:w="0" w:type="dxa"/>
            <w:right w:w="0" w:type="dxa"/>
          </w:tblCellMar>
        </w:tblPrEx>
        <w:trPr>
          <w:trHeight w:val="405" w:hRule="atLeast"/>
        </w:trPr>
        <w:tc>
          <w:tcPr>
            <w:tcW w:w="8538" w:type="dxa"/>
            <w:gridSpan w:val="1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总  分</w:t>
            </w:r>
          </w:p>
        </w:tc>
        <w:tc>
          <w:tcPr>
            <w:tcW w:w="66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w:t>
            </w:r>
          </w:p>
        </w:tc>
        <w:tc>
          <w:tcPr>
            <w:tcW w:w="620"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95</w:t>
            </w:r>
          </w:p>
        </w:tc>
        <w:tc>
          <w:tcPr>
            <w:tcW w:w="3342" w:type="dxa"/>
            <w:gridSpan w:val="2"/>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r>
      <w:tr>
        <w:tblPrEx>
          <w:tblLayout w:type="fixed"/>
          <w:tblCellMar>
            <w:top w:w="0" w:type="dxa"/>
            <w:left w:w="0" w:type="dxa"/>
            <w:bottom w:w="0" w:type="dxa"/>
            <w:right w:w="0" w:type="dxa"/>
          </w:tblCellMar>
        </w:tblPrEx>
        <w:trPr>
          <w:trHeight w:val="885" w:hRule="atLeast"/>
        </w:trPr>
        <w:tc>
          <w:tcPr>
            <w:tcW w:w="1300"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自评结论</w:t>
            </w:r>
          </w:p>
        </w:tc>
        <w:tc>
          <w:tcPr>
            <w:tcW w:w="2000" w:type="dxa"/>
            <w:gridSpan w:val="3"/>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w:t>
            </w:r>
          </w:p>
        </w:tc>
        <w:tc>
          <w:tcPr>
            <w:tcW w:w="9860" w:type="dxa"/>
            <w:gridSpan w:val="11"/>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说明：1.总分90分（含）以上的，执行率91%(含)以上自评结论为“优”，50%（含）-91%为“良”，低于50%为“中”；2.总分90-80分（含）的，执行率50%（含）以上结论为“良”，低于50%为“中”；3.指标得分80-60分（含），结论为“中”；4.总分低于60分的，结论为“差”。</w:t>
            </w:r>
          </w:p>
        </w:tc>
      </w:tr>
      <w:tr>
        <w:tblPrEx>
          <w:tblLayout w:type="fixed"/>
          <w:tblCellMar>
            <w:top w:w="0" w:type="dxa"/>
            <w:left w:w="0" w:type="dxa"/>
            <w:bottom w:w="0" w:type="dxa"/>
            <w:right w:w="0" w:type="dxa"/>
          </w:tblCellMar>
        </w:tblPrEx>
        <w:trPr>
          <w:trHeight w:val="420" w:hRule="atLeast"/>
        </w:trPr>
        <w:tc>
          <w:tcPr>
            <w:tcW w:w="13160" w:type="dxa"/>
            <w:gridSpan w:val="1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单位负责人：陶亚娟       填报人： 赵炳忠      联系电话：13857908051       填报日期：2022.04.08</w:t>
            </w:r>
          </w:p>
        </w:tc>
      </w:tr>
    </w:tbl>
    <w:p>
      <w:pPr>
        <w:spacing w:before="100" w:beforeAutospacing="1" w:after="100" w:afterAutospacing="1"/>
        <w:jc w:val="left"/>
        <w:rPr>
          <w:rFonts w:hint="eastAsia" w:ascii="仿宋_GB2312" w:hAnsi="仿宋_GB2312" w:cs="宋体"/>
          <w:color w:val="000000"/>
          <w:kern w:val="0"/>
          <w:sz w:val="24"/>
          <w:szCs w:val="24"/>
        </w:rPr>
        <w:sectPr>
          <w:pgSz w:w="15840" w:h="12240" w:orient="landscape"/>
          <w:pgMar w:top="1800" w:right="1440" w:bottom="1800" w:left="1440" w:header="720" w:footer="720" w:gutter="0"/>
          <w:cols w:space="720" w:num="1"/>
          <w:docGrid w:linePitch="286" w:charSpace="0"/>
        </w:sectPr>
      </w:pPr>
    </w:p>
    <w:p>
      <w:pPr>
        <w:widowControl w:val="0"/>
        <w:spacing w:line="500" w:lineRule="exact"/>
        <w:ind w:firstLine="560" w:firstLineChars="200"/>
        <w:rPr>
          <w:rFonts w:ascii="仿宋" w:hAnsi="仿宋" w:eastAsia="仿宋"/>
          <w:b/>
          <w:bCs/>
          <w:color w:val="000000"/>
          <w:sz w:val="28"/>
          <w:szCs w:val="28"/>
          <w:highlight w:val="white"/>
          <w:u w:val="single"/>
        </w:rPr>
        <w:sectPr>
          <w:pgSz w:w="11906" w:h="16838"/>
          <w:pgMar w:top="1440" w:right="1800" w:bottom="1440" w:left="1800" w:header="851" w:footer="992" w:gutter="0"/>
          <w:cols w:space="425" w:num="1"/>
          <w:docGrid w:type="lines" w:linePitch="312" w:charSpace="0"/>
        </w:sectPr>
      </w:pPr>
      <w:r>
        <w:rPr>
          <w:rFonts w:hint="eastAsia" w:ascii="仿宋" w:hAnsi="仿宋" w:eastAsia="仿宋"/>
          <w:color w:val="000000"/>
          <w:sz w:val="28"/>
          <w:szCs w:val="28"/>
          <w:highlight w:val="white"/>
        </w:rPr>
        <w:t>《</w:t>
      </w:r>
      <w:r>
        <w:rPr>
          <w:rFonts w:hint="eastAsia" w:ascii="仿宋" w:hAnsi="仿宋" w:eastAsia="仿宋"/>
          <w:color w:val="000000"/>
          <w:sz w:val="28"/>
          <w:szCs w:val="28"/>
          <w:highlight w:val="white"/>
          <w:lang w:eastAsia="zh-CN"/>
        </w:rPr>
        <w:t>检测检验工作经费</w:t>
      </w:r>
      <w:r>
        <w:rPr>
          <w:rFonts w:hint="eastAsia" w:ascii="仿宋" w:hAnsi="仿宋" w:eastAsia="仿宋"/>
          <w:color w:val="000000"/>
          <w:sz w:val="28"/>
          <w:szCs w:val="28"/>
          <w:highlight w:val="white"/>
        </w:rPr>
        <w:t>》项目绩效自评综述：根据年初设定的绩效目标，项目自评得分</w:t>
      </w:r>
      <w:r>
        <w:rPr>
          <w:rFonts w:hint="eastAsia" w:ascii="仿宋" w:hAnsi="仿宋" w:eastAsia="仿宋"/>
          <w:color w:val="000000"/>
          <w:sz w:val="28"/>
          <w:szCs w:val="28"/>
          <w:highlight w:val="white"/>
          <w:lang w:val="en-US" w:eastAsia="zh-CN"/>
        </w:rPr>
        <w:t>96.7</w:t>
      </w:r>
      <w:r>
        <w:rPr>
          <w:rFonts w:hint="eastAsia" w:ascii="仿宋" w:hAnsi="仿宋" w:eastAsia="仿宋"/>
          <w:color w:val="000000"/>
          <w:sz w:val="28"/>
          <w:szCs w:val="28"/>
          <w:highlight w:val="white"/>
        </w:rPr>
        <w:t>分，自评结论为“优”。项目全年预算数为</w:t>
      </w:r>
      <w:r>
        <w:rPr>
          <w:rFonts w:hint="eastAsia" w:ascii="仿宋" w:hAnsi="仿宋" w:eastAsia="仿宋"/>
          <w:color w:val="000000"/>
          <w:sz w:val="28"/>
          <w:szCs w:val="28"/>
          <w:highlight w:val="white"/>
          <w:lang w:val="en-US" w:eastAsia="zh-CN"/>
        </w:rPr>
        <w:t>29</w:t>
      </w:r>
      <w:r>
        <w:rPr>
          <w:rFonts w:hint="eastAsia" w:ascii="仿宋" w:hAnsi="仿宋" w:eastAsia="仿宋"/>
          <w:color w:val="000000"/>
          <w:sz w:val="28"/>
          <w:szCs w:val="28"/>
          <w:highlight w:val="white"/>
        </w:rPr>
        <w:t>万元，执行数为</w:t>
      </w:r>
      <w:r>
        <w:rPr>
          <w:rFonts w:hint="eastAsia" w:ascii="仿宋" w:hAnsi="仿宋" w:eastAsia="仿宋"/>
          <w:color w:val="000000"/>
          <w:sz w:val="28"/>
          <w:szCs w:val="28"/>
          <w:highlight w:val="white"/>
          <w:lang w:val="en-US" w:eastAsia="zh-CN"/>
        </w:rPr>
        <w:t>28.70</w:t>
      </w:r>
      <w:r>
        <w:rPr>
          <w:rFonts w:hint="eastAsia" w:ascii="仿宋" w:hAnsi="仿宋" w:eastAsia="仿宋"/>
          <w:color w:val="000000"/>
          <w:sz w:val="28"/>
          <w:szCs w:val="28"/>
          <w:highlight w:val="white"/>
        </w:rPr>
        <w:t>万元，完成预算的</w:t>
      </w:r>
      <w:r>
        <w:rPr>
          <w:rFonts w:hint="eastAsia" w:ascii="仿宋" w:hAnsi="仿宋" w:eastAsia="仿宋"/>
          <w:color w:val="000000"/>
          <w:sz w:val="28"/>
          <w:szCs w:val="28"/>
          <w:highlight w:val="white"/>
          <w:lang w:val="en-US" w:eastAsia="zh-CN"/>
        </w:rPr>
        <w:t>98.97</w:t>
      </w:r>
      <w:r>
        <w:rPr>
          <w:rFonts w:hint="eastAsia" w:ascii="仿宋" w:hAnsi="仿宋" w:eastAsia="仿宋"/>
          <w:color w:val="000000"/>
          <w:sz w:val="28"/>
          <w:szCs w:val="28"/>
          <w:highlight w:val="white"/>
        </w:rPr>
        <w:t>%。项目绩效目标完成情况：一是</w:t>
      </w:r>
      <w:r>
        <w:rPr>
          <w:rFonts w:hint="eastAsia" w:ascii="仿宋" w:hAnsi="仿宋" w:eastAsia="仿宋"/>
          <w:color w:val="000000"/>
          <w:sz w:val="28"/>
          <w:szCs w:val="28"/>
          <w:highlight w:val="white"/>
          <w:lang w:eastAsia="zh-CN"/>
        </w:rPr>
        <w:t>全年计量检测、条码办理数量</w:t>
      </w:r>
      <w:r>
        <w:rPr>
          <w:rFonts w:hint="eastAsia" w:ascii="仿宋" w:hAnsi="仿宋" w:eastAsia="仿宋"/>
          <w:color w:val="000000"/>
          <w:sz w:val="28"/>
          <w:szCs w:val="28"/>
          <w:highlight w:val="white"/>
        </w:rPr>
        <w:t>均完成了年度指标值；二是</w:t>
      </w:r>
      <w:r>
        <w:rPr>
          <w:rFonts w:hint="eastAsia" w:ascii="仿宋" w:hAnsi="仿宋" w:eastAsia="仿宋"/>
          <w:color w:val="000000"/>
          <w:sz w:val="28"/>
          <w:szCs w:val="28"/>
          <w:highlight w:val="white"/>
          <w:lang w:eastAsia="zh-CN"/>
        </w:rPr>
        <w:t>为企业减免计量检定费用、提升企业质量管理能力，</w:t>
      </w:r>
      <w:r>
        <w:rPr>
          <w:rFonts w:hint="eastAsia" w:ascii="仿宋" w:hAnsi="仿宋" w:eastAsia="仿宋"/>
          <w:color w:val="000000"/>
          <w:sz w:val="28"/>
          <w:szCs w:val="28"/>
          <w:highlight w:val="white"/>
        </w:rPr>
        <w:t>取得明显的</w:t>
      </w:r>
      <w:r>
        <w:rPr>
          <w:rFonts w:hint="eastAsia" w:ascii="仿宋" w:hAnsi="仿宋" w:eastAsia="仿宋"/>
          <w:color w:val="000000"/>
          <w:sz w:val="28"/>
          <w:szCs w:val="28"/>
          <w:highlight w:val="white"/>
          <w:lang w:eastAsia="zh-CN"/>
        </w:rPr>
        <w:t>经济效益和</w:t>
      </w:r>
      <w:r>
        <w:rPr>
          <w:rFonts w:hint="eastAsia" w:ascii="仿宋" w:hAnsi="仿宋" w:eastAsia="仿宋"/>
          <w:color w:val="000000"/>
          <w:sz w:val="28"/>
          <w:szCs w:val="28"/>
          <w:highlight w:val="white"/>
        </w:rPr>
        <w:t>社会效益。发现的问题及原因：一是因疫情影响，</w:t>
      </w:r>
      <w:r>
        <w:rPr>
          <w:rFonts w:hint="eastAsia" w:ascii="仿宋" w:hAnsi="仿宋" w:eastAsia="仿宋"/>
          <w:color w:val="000000"/>
          <w:sz w:val="28"/>
          <w:szCs w:val="28"/>
          <w:highlight w:val="white"/>
          <w:lang w:eastAsia="zh-CN"/>
        </w:rPr>
        <w:t>上门服务时间受到限制未完成服务企业的家数</w:t>
      </w:r>
      <w:r>
        <w:rPr>
          <w:rFonts w:hint="eastAsia" w:ascii="仿宋" w:hAnsi="仿宋" w:eastAsia="仿宋"/>
          <w:color w:val="000000"/>
          <w:sz w:val="28"/>
          <w:szCs w:val="28"/>
          <w:highlight w:val="white"/>
        </w:rPr>
        <w:t>。下一步改进措施：一是</w:t>
      </w:r>
      <w:r>
        <w:rPr>
          <w:rFonts w:hint="eastAsia" w:ascii="仿宋" w:hAnsi="仿宋" w:eastAsia="仿宋"/>
          <w:color w:val="000000"/>
          <w:sz w:val="28"/>
          <w:szCs w:val="28"/>
          <w:highlight w:val="white"/>
          <w:lang w:eastAsia="zh-CN"/>
        </w:rPr>
        <w:t>进一步加大支持企业的力度和深度</w:t>
      </w:r>
      <w:r>
        <w:rPr>
          <w:rFonts w:hint="eastAsia" w:ascii="仿宋" w:hAnsi="仿宋" w:eastAsia="仿宋"/>
          <w:color w:val="000000"/>
          <w:sz w:val="28"/>
          <w:szCs w:val="28"/>
          <w:highlight w:val="white"/>
        </w:rPr>
        <w:t>；二是</w:t>
      </w:r>
      <w:r>
        <w:rPr>
          <w:rFonts w:hint="eastAsia" w:ascii="仿宋" w:hAnsi="仿宋" w:eastAsia="仿宋"/>
          <w:color w:val="000000"/>
          <w:sz w:val="28"/>
          <w:szCs w:val="28"/>
          <w:highlight w:val="white"/>
          <w:lang w:eastAsia="zh-CN"/>
        </w:rPr>
        <w:t>在疫情有所缓解的情况下，提高服务企业的频率</w:t>
      </w:r>
      <w:r>
        <w:rPr>
          <w:rFonts w:hint="eastAsia" w:ascii="仿宋" w:hAnsi="仿宋" w:eastAsia="仿宋"/>
          <w:color w:val="000000"/>
          <w:sz w:val="28"/>
          <w:szCs w:val="28"/>
          <w:highlight w:val="white"/>
        </w:rPr>
        <w:t>。</w:t>
      </w:r>
      <w:r>
        <w:rPr>
          <w:rFonts w:hint="eastAsia" w:ascii="仿宋" w:hAnsi="仿宋" w:eastAsia="仿宋"/>
          <w:b/>
          <w:bCs/>
          <w:color w:val="000000"/>
          <w:sz w:val="28"/>
          <w:szCs w:val="28"/>
          <w:highlight w:val="white"/>
          <w:u w:val="single"/>
        </w:rPr>
        <w:t>附《</w:t>
      </w:r>
      <w:r>
        <w:rPr>
          <w:rFonts w:hint="eastAsia" w:ascii="仿宋" w:hAnsi="仿宋" w:eastAsia="仿宋"/>
          <w:b/>
          <w:bCs/>
          <w:color w:val="000000"/>
          <w:sz w:val="28"/>
          <w:szCs w:val="28"/>
          <w:highlight w:val="white"/>
          <w:u w:val="single"/>
          <w:lang w:eastAsia="zh-CN"/>
        </w:rPr>
        <w:t>检测检验工作经费</w:t>
      </w:r>
      <w:r>
        <w:rPr>
          <w:rFonts w:hint="eastAsia" w:ascii="仿宋" w:hAnsi="仿宋" w:eastAsia="仿宋"/>
          <w:b/>
          <w:bCs/>
          <w:color w:val="000000"/>
          <w:sz w:val="28"/>
          <w:szCs w:val="28"/>
          <w:highlight w:val="white"/>
          <w:u w:val="single"/>
        </w:rPr>
        <w:t>》项目绩效自评表。</w:t>
      </w:r>
    </w:p>
    <w:p>
      <w:pPr>
        <w:pStyle w:val="2"/>
      </w:pPr>
      <w:r>
        <w:t xml:space="preserve"> </w:t>
      </w:r>
    </w:p>
    <w:tbl>
      <w:tblPr>
        <w:tblStyle w:val="6"/>
        <w:tblW w:w="13988" w:type="dxa"/>
        <w:tblInd w:w="0" w:type="dxa"/>
        <w:shd w:val="clear" w:color="auto" w:fill="auto"/>
        <w:tblLayout w:type="fixed"/>
        <w:tblCellMar>
          <w:top w:w="0" w:type="dxa"/>
          <w:left w:w="0" w:type="dxa"/>
          <w:bottom w:w="0" w:type="dxa"/>
          <w:right w:w="0" w:type="dxa"/>
        </w:tblCellMar>
      </w:tblPr>
      <w:tblGrid>
        <w:gridCol w:w="440"/>
        <w:gridCol w:w="580"/>
        <w:gridCol w:w="780"/>
        <w:gridCol w:w="2000"/>
        <w:gridCol w:w="1000"/>
        <w:gridCol w:w="980"/>
        <w:gridCol w:w="660"/>
        <w:gridCol w:w="620"/>
        <w:gridCol w:w="6928"/>
      </w:tblGrid>
      <w:tr>
        <w:tblPrEx>
          <w:shd w:val="clear" w:color="auto" w:fill="auto"/>
          <w:tblLayout w:type="fixed"/>
          <w:tblCellMar>
            <w:top w:w="0" w:type="dxa"/>
            <w:left w:w="0" w:type="dxa"/>
            <w:bottom w:w="0" w:type="dxa"/>
            <w:right w:w="0" w:type="dxa"/>
          </w:tblCellMar>
        </w:tblPrEx>
        <w:trPr>
          <w:trHeight w:val="402" w:hRule="atLeast"/>
        </w:trPr>
        <w:tc>
          <w:tcPr>
            <w:tcW w:w="13988"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28"/>
                <w:szCs w:val="28"/>
                <w:u w:val="none"/>
              </w:rPr>
            </w:pPr>
            <w:r>
              <w:rPr>
                <w:rFonts w:hint="eastAsia" w:ascii="宋体" w:hAnsi="宋体" w:cs="宋体"/>
                <w:b/>
                <w:bCs/>
                <w:color w:val="000000"/>
                <w:sz w:val="28"/>
                <w:szCs w:val="28"/>
                <w:highlight w:val="white"/>
                <w:lang w:eastAsia="zh-CN"/>
              </w:rPr>
              <w:t>《</w:t>
            </w:r>
            <w:r>
              <w:rPr>
                <w:rFonts w:hint="eastAsia" w:ascii="宋体" w:hAnsi="宋体" w:eastAsia="宋体" w:cs="宋体"/>
                <w:b/>
                <w:bCs/>
                <w:color w:val="000000"/>
                <w:sz w:val="28"/>
                <w:szCs w:val="28"/>
                <w:highlight w:val="white"/>
                <w:lang w:eastAsia="zh-CN"/>
              </w:rPr>
              <w:t>检测检验工作经费</w:t>
            </w:r>
            <w:r>
              <w:rPr>
                <w:rFonts w:hint="eastAsia" w:ascii="宋体" w:hAnsi="宋体" w:cs="宋体"/>
                <w:b/>
                <w:bCs/>
                <w:color w:val="000000"/>
                <w:sz w:val="28"/>
                <w:szCs w:val="28"/>
                <w:highlight w:val="white"/>
                <w:lang w:eastAsia="zh-CN"/>
              </w:rPr>
              <w:t>》</w:t>
            </w:r>
            <w:r>
              <w:rPr>
                <w:rFonts w:hint="eastAsia" w:ascii="宋体" w:hAnsi="宋体" w:eastAsia="宋体" w:cs="宋体"/>
                <w:b/>
                <w:bCs/>
                <w:i w:val="0"/>
                <w:color w:val="000000"/>
                <w:kern w:val="0"/>
                <w:sz w:val="28"/>
                <w:szCs w:val="28"/>
                <w:u w:val="none"/>
                <w:lang w:val="en-US" w:eastAsia="zh-CN" w:bidi="ar"/>
              </w:rPr>
              <w:t>项目绩效自评表</w:t>
            </w:r>
          </w:p>
        </w:tc>
      </w:tr>
      <w:tr>
        <w:tblPrEx>
          <w:tblLayout w:type="fixed"/>
          <w:tblCellMar>
            <w:top w:w="0" w:type="dxa"/>
            <w:left w:w="0" w:type="dxa"/>
            <w:bottom w:w="0" w:type="dxa"/>
            <w:right w:w="0" w:type="dxa"/>
          </w:tblCellMar>
        </w:tblPrEx>
        <w:trPr>
          <w:trHeight w:val="330" w:hRule="atLeast"/>
        </w:trPr>
        <w:tc>
          <w:tcPr>
            <w:tcW w:w="13988" w:type="dxa"/>
            <w:gridSpan w:val="9"/>
            <w:tcBorders>
              <w:top w:val="nil"/>
              <w:left w:val="nil"/>
              <w:bottom w:val="single" w:color="auto"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w:t>
            </w:r>
            <w:r>
              <w:rPr>
                <w:rFonts w:ascii="仿宋_GB2312" w:hAnsi="Times New Roman" w:eastAsia="仿宋_GB2312" w:cs="仿宋_GB2312"/>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2"/>
                <w:szCs w:val="22"/>
                <w:u w:val="none"/>
                <w:lang w:val="en-US" w:eastAsia="zh-CN" w:bidi="ar"/>
              </w:rPr>
              <w:t>2021</w:t>
            </w:r>
            <w:r>
              <w:rPr>
                <w:rFonts w:ascii="仿宋_GB2312" w:hAnsi="Times New Roman" w:eastAsia="仿宋_GB2312" w:cs="仿宋_GB2312"/>
                <w:i w:val="0"/>
                <w:color w:val="000000"/>
                <w:kern w:val="0"/>
                <w:sz w:val="22"/>
                <w:szCs w:val="22"/>
                <w:u w:val="none"/>
                <w:lang w:val="en-US" w:eastAsia="zh-CN" w:bidi="ar"/>
              </w:rPr>
              <w:t>年度）</w:t>
            </w:r>
            <w:r>
              <w:rPr>
                <w:rFonts w:hint="default" w:ascii="Times New Roman" w:hAnsi="Times New Roman" w:eastAsia="宋体" w:cs="Times New Roman"/>
                <w:i w:val="0"/>
                <w:color w:val="000000"/>
                <w:kern w:val="0"/>
                <w:sz w:val="22"/>
                <w:szCs w:val="22"/>
                <w:u w:val="none"/>
                <w:lang w:val="en-US" w:eastAsia="zh-CN" w:bidi="ar"/>
              </w:rPr>
              <w:t xml:space="preserve">                                   </w:t>
            </w:r>
            <w:r>
              <w:rPr>
                <w:rFonts w:hint="eastAsia" w:cs="Times New Roman"/>
                <w:i w:val="0"/>
                <w:color w:val="000000"/>
                <w:kern w:val="0"/>
                <w:sz w:val="22"/>
                <w:szCs w:val="22"/>
                <w:u w:val="none"/>
                <w:lang w:val="en-US" w:eastAsia="zh-CN" w:bidi="ar"/>
              </w:rPr>
              <w:t xml:space="preserve">        </w:t>
            </w:r>
            <w:r>
              <w:rPr>
                <w:rFonts w:hint="default" w:ascii="Times New Roman" w:hAnsi="Times New Roman" w:eastAsia="宋体" w:cs="Times New Roman"/>
                <w:i w:val="0"/>
                <w:color w:val="000000"/>
                <w:kern w:val="0"/>
                <w:sz w:val="22"/>
                <w:szCs w:val="22"/>
                <w:u w:val="none"/>
                <w:lang w:val="en-US" w:eastAsia="zh-CN" w:bidi="ar"/>
              </w:rPr>
              <w:t xml:space="preserve"> </w:t>
            </w:r>
            <w:r>
              <w:rPr>
                <w:rFonts w:ascii="仿宋_GB2312" w:hAnsi="Times New Roman" w:eastAsia="仿宋_GB2312" w:cs="仿宋_GB2312"/>
                <w:i w:val="0"/>
                <w:color w:val="000000"/>
                <w:kern w:val="0"/>
                <w:sz w:val="22"/>
                <w:szCs w:val="22"/>
                <w:u w:val="none"/>
                <w:lang w:val="en-US" w:eastAsia="zh-CN" w:bidi="ar"/>
              </w:rPr>
              <w:t>金额单位：万元</w:t>
            </w:r>
          </w:p>
        </w:tc>
      </w:tr>
      <w:tr>
        <w:tblPrEx>
          <w:tblLayout w:type="fixed"/>
          <w:tblCellMar>
            <w:top w:w="0" w:type="dxa"/>
            <w:left w:w="0" w:type="dxa"/>
            <w:bottom w:w="0" w:type="dxa"/>
            <w:right w:w="0" w:type="dxa"/>
          </w:tblCellMar>
        </w:tblPrEx>
        <w:trPr>
          <w:trHeight w:val="285" w:hRule="atLeast"/>
        </w:trPr>
        <w:tc>
          <w:tcPr>
            <w:tcW w:w="102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3780" w:type="dxa"/>
            <w:gridSpan w:val="3"/>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检测检验工作经费</w:t>
            </w:r>
          </w:p>
        </w:tc>
        <w:tc>
          <w:tcPr>
            <w:tcW w:w="98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项目负责人</w:t>
            </w:r>
          </w:p>
        </w:tc>
        <w:tc>
          <w:tcPr>
            <w:tcW w:w="8208" w:type="dxa"/>
            <w:gridSpan w:val="3"/>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陶亚娟</w:t>
            </w:r>
          </w:p>
        </w:tc>
      </w:tr>
      <w:tr>
        <w:tblPrEx>
          <w:tblLayout w:type="fixed"/>
          <w:tblCellMar>
            <w:top w:w="0" w:type="dxa"/>
            <w:left w:w="0" w:type="dxa"/>
            <w:bottom w:w="0" w:type="dxa"/>
            <w:right w:w="0" w:type="dxa"/>
          </w:tblCellMar>
        </w:tblPrEx>
        <w:trPr>
          <w:trHeight w:val="285" w:hRule="atLeast"/>
        </w:trPr>
        <w:tc>
          <w:tcPr>
            <w:tcW w:w="102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20"/>
                <w:szCs w:val="20"/>
                <w:u w:val="none"/>
                <w:lang w:val="en-US" w:eastAsia="zh-CN" w:bidi="ar"/>
              </w:rPr>
              <w:t>预算单位</w:t>
            </w:r>
          </w:p>
        </w:tc>
        <w:tc>
          <w:tcPr>
            <w:tcW w:w="3780" w:type="dxa"/>
            <w:gridSpan w:val="3"/>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兰溪市产品商品质量检测研究院</w:t>
            </w:r>
          </w:p>
        </w:tc>
        <w:tc>
          <w:tcPr>
            <w:tcW w:w="98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主管部门</w:t>
            </w:r>
          </w:p>
        </w:tc>
        <w:tc>
          <w:tcPr>
            <w:tcW w:w="8208" w:type="dxa"/>
            <w:gridSpan w:val="3"/>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兰溪市市场监督管理局</w:t>
            </w:r>
          </w:p>
        </w:tc>
      </w:tr>
      <w:tr>
        <w:tblPrEx>
          <w:tblLayout w:type="fixed"/>
          <w:tblCellMar>
            <w:top w:w="0" w:type="dxa"/>
            <w:left w:w="0" w:type="dxa"/>
            <w:bottom w:w="0" w:type="dxa"/>
            <w:right w:w="0" w:type="dxa"/>
          </w:tblCellMar>
        </w:tblPrEx>
        <w:trPr>
          <w:trHeight w:val="285" w:hRule="atLeast"/>
        </w:trPr>
        <w:tc>
          <w:tcPr>
            <w:tcW w:w="1020"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项目资金</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（万元）</w:t>
            </w:r>
          </w:p>
        </w:tc>
        <w:tc>
          <w:tcPr>
            <w:tcW w:w="2780"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Calibri" w:hAnsi="Calibri" w:eastAsia="宋体" w:cs="Calibri"/>
                <w:i w:val="0"/>
                <w:color w:val="000000"/>
                <w:sz w:val="21"/>
                <w:szCs w:val="21"/>
                <w:u w:val="none"/>
              </w:rPr>
            </w:pPr>
            <w:r>
              <w:rPr>
                <w:rFonts w:hint="default" w:ascii="Calibri" w:hAnsi="Calibri" w:eastAsia="宋体" w:cs="Calibri"/>
                <w:i w:val="0"/>
                <w:color w:val="000000"/>
                <w:kern w:val="0"/>
                <w:sz w:val="21"/>
                <w:szCs w:val="21"/>
                <w:u w:val="none"/>
                <w:lang w:val="en-US" w:eastAsia="zh-CN" w:bidi="ar"/>
              </w:rPr>
              <w:t>资金来源</w:t>
            </w:r>
          </w:p>
        </w:tc>
        <w:tc>
          <w:tcPr>
            <w:tcW w:w="1000" w:type="dxa"/>
            <w:vMerge w:val="restart"/>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年初预算数</w:t>
            </w:r>
          </w:p>
        </w:tc>
        <w:tc>
          <w:tcPr>
            <w:tcW w:w="98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全年预算数</w:t>
            </w:r>
          </w:p>
        </w:tc>
        <w:tc>
          <w:tcPr>
            <w:tcW w:w="1280"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全年执行数</w:t>
            </w:r>
          </w:p>
        </w:tc>
        <w:tc>
          <w:tcPr>
            <w:tcW w:w="692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执行率</w:t>
            </w:r>
          </w:p>
        </w:tc>
      </w:tr>
      <w:tr>
        <w:tblPrEx>
          <w:tblLayout w:type="fixed"/>
          <w:tblCellMar>
            <w:top w:w="0" w:type="dxa"/>
            <w:left w:w="0" w:type="dxa"/>
            <w:bottom w:w="0" w:type="dxa"/>
            <w:right w:w="0" w:type="dxa"/>
          </w:tblCellMar>
        </w:tblPrEx>
        <w:trPr>
          <w:trHeight w:val="285" w:hRule="atLeast"/>
        </w:trPr>
        <w:tc>
          <w:tcPr>
            <w:tcW w:w="1020"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80"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Calibri" w:hAnsi="Calibri" w:eastAsia="宋体" w:cs="Calibri"/>
                <w:i w:val="0"/>
                <w:color w:val="000000"/>
                <w:sz w:val="21"/>
                <w:szCs w:val="21"/>
                <w:u w:val="none"/>
              </w:rPr>
            </w:pPr>
          </w:p>
        </w:tc>
        <w:tc>
          <w:tcPr>
            <w:tcW w:w="100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8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default" w:ascii="Times New Roman" w:hAnsi="Times New Roman" w:eastAsia="宋体" w:cs="Times New Roman"/>
                <w:i w:val="0"/>
                <w:color w:val="000000"/>
                <w:kern w:val="0"/>
                <w:sz w:val="18"/>
                <w:szCs w:val="18"/>
                <w:u w:val="none"/>
                <w:lang w:val="en-US" w:eastAsia="zh-CN" w:bidi="ar"/>
              </w:rPr>
              <w:t>A</w:t>
            </w:r>
            <w:r>
              <w:rPr>
                <w:rFonts w:hint="eastAsia" w:ascii="宋体" w:hAnsi="宋体" w:eastAsia="宋体" w:cs="宋体"/>
                <w:i w:val="0"/>
                <w:color w:val="000000"/>
                <w:kern w:val="0"/>
                <w:sz w:val="18"/>
                <w:szCs w:val="18"/>
                <w:u w:val="none"/>
                <w:lang w:val="en-US" w:eastAsia="zh-CN" w:bidi="ar"/>
              </w:rPr>
              <w:t>）</w:t>
            </w:r>
          </w:p>
        </w:tc>
        <w:tc>
          <w:tcPr>
            <w:tcW w:w="1280"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default" w:ascii="Times New Roman" w:hAnsi="Times New Roman" w:eastAsia="宋体" w:cs="Times New Roman"/>
                <w:i w:val="0"/>
                <w:color w:val="000000"/>
                <w:kern w:val="0"/>
                <w:sz w:val="18"/>
                <w:szCs w:val="18"/>
                <w:u w:val="none"/>
                <w:lang w:val="en-US" w:eastAsia="zh-CN" w:bidi="ar"/>
              </w:rPr>
              <w:t>B</w:t>
            </w:r>
            <w:r>
              <w:rPr>
                <w:rFonts w:hint="eastAsia" w:ascii="宋体" w:hAnsi="宋体" w:eastAsia="宋体" w:cs="宋体"/>
                <w:i w:val="0"/>
                <w:color w:val="000000"/>
                <w:kern w:val="0"/>
                <w:sz w:val="18"/>
                <w:szCs w:val="18"/>
                <w:u w:val="none"/>
                <w:lang w:val="en-US" w:eastAsia="zh-CN" w:bidi="ar"/>
              </w:rPr>
              <w:t>）</w:t>
            </w:r>
          </w:p>
        </w:tc>
        <w:tc>
          <w:tcPr>
            <w:tcW w:w="692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r>
              <w:rPr>
                <w:rFonts w:hint="default" w:ascii="Times New Roman" w:hAnsi="Times New Roman" w:eastAsia="宋体" w:cs="Times New Roman"/>
                <w:i w:val="0"/>
                <w:color w:val="000000"/>
                <w:kern w:val="0"/>
                <w:sz w:val="18"/>
                <w:szCs w:val="18"/>
                <w:u w:val="none"/>
                <w:lang w:val="en-US" w:eastAsia="zh-CN" w:bidi="ar"/>
              </w:rPr>
              <w:t>B/A</w:t>
            </w:r>
            <w:r>
              <w:rPr>
                <w:rFonts w:hint="eastAsia" w:ascii="宋体" w:hAnsi="宋体" w:eastAsia="宋体" w:cs="宋体"/>
                <w:i w:val="0"/>
                <w:color w:val="000000"/>
                <w:kern w:val="0"/>
                <w:sz w:val="18"/>
                <w:szCs w:val="18"/>
                <w:u w:val="none"/>
                <w:lang w:val="en-US" w:eastAsia="zh-CN" w:bidi="ar"/>
              </w:rPr>
              <w:t>）</w:t>
            </w:r>
          </w:p>
        </w:tc>
      </w:tr>
      <w:tr>
        <w:tblPrEx>
          <w:tblLayout w:type="fixed"/>
          <w:tblCellMar>
            <w:top w:w="0" w:type="dxa"/>
            <w:left w:w="0" w:type="dxa"/>
            <w:bottom w:w="0" w:type="dxa"/>
            <w:right w:w="0" w:type="dxa"/>
          </w:tblCellMar>
        </w:tblPrEx>
        <w:trPr>
          <w:trHeight w:val="285" w:hRule="atLeast"/>
        </w:trPr>
        <w:tc>
          <w:tcPr>
            <w:tcW w:w="1020"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80"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年度资金总额</w:t>
            </w:r>
          </w:p>
        </w:tc>
        <w:tc>
          <w:tcPr>
            <w:tcW w:w="10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c>
          <w:tcPr>
            <w:tcW w:w="98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29</w:t>
            </w:r>
          </w:p>
        </w:tc>
        <w:tc>
          <w:tcPr>
            <w:tcW w:w="1280" w:type="dxa"/>
            <w:gridSpan w:val="2"/>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28.69927</w:t>
            </w:r>
          </w:p>
        </w:tc>
        <w:tc>
          <w:tcPr>
            <w:tcW w:w="692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99.0%</w:t>
            </w:r>
          </w:p>
        </w:tc>
      </w:tr>
      <w:tr>
        <w:tblPrEx>
          <w:tblLayout w:type="fixed"/>
          <w:tblCellMar>
            <w:top w:w="0" w:type="dxa"/>
            <w:left w:w="0" w:type="dxa"/>
            <w:bottom w:w="0" w:type="dxa"/>
            <w:right w:w="0" w:type="dxa"/>
          </w:tblCellMar>
        </w:tblPrEx>
        <w:trPr>
          <w:trHeight w:val="285" w:hRule="atLeast"/>
        </w:trPr>
        <w:tc>
          <w:tcPr>
            <w:tcW w:w="1020"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80" w:type="dxa"/>
            <w:gridSpan w:val="2"/>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其中：一般公共预算本级资金</w:t>
            </w:r>
          </w:p>
        </w:tc>
        <w:tc>
          <w:tcPr>
            <w:tcW w:w="10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c>
          <w:tcPr>
            <w:tcW w:w="98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29</w:t>
            </w:r>
          </w:p>
        </w:tc>
        <w:tc>
          <w:tcPr>
            <w:tcW w:w="1280" w:type="dxa"/>
            <w:gridSpan w:val="2"/>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28.69927</w:t>
            </w:r>
          </w:p>
        </w:tc>
        <w:tc>
          <w:tcPr>
            <w:tcW w:w="692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99.0%</w:t>
            </w:r>
          </w:p>
        </w:tc>
      </w:tr>
      <w:tr>
        <w:tblPrEx>
          <w:tblLayout w:type="fixed"/>
          <w:tblCellMar>
            <w:top w:w="0" w:type="dxa"/>
            <w:left w:w="0" w:type="dxa"/>
            <w:bottom w:w="0" w:type="dxa"/>
            <w:right w:w="0" w:type="dxa"/>
          </w:tblCellMar>
        </w:tblPrEx>
        <w:trPr>
          <w:trHeight w:val="285" w:hRule="atLeast"/>
        </w:trPr>
        <w:tc>
          <w:tcPr>
            <w:tcW w:w="1020"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80" w:type="dxa"/>
            <w:gridSpan w:val="2"/>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一般公共预算上级资金</w:t>
            </w:r>
          </w:p>
        </w:tc>
        <w:tc>
          <w:tcPr>
            <w:tcW w:w="10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c>
          <w:tcPr>
            <w:tcW w:w="98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c>
          <w:tcPr>
            <w:tcW w:w="1280" w:type="dxa"/>
            <w:gridSpan w:val="2"/>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c>
          <w:tcPr>
            <w:tcW w:w="692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r>
      <w:tr>
        <w:tblPrEx>
          <w:tblLayout w:type="fixed"/>
          <w:tblCellMar>
            <w:top w:w="0" w:type="dxa"/>
            <w:left w:w="0" w:type="dxa"/>
            <w:bottom w:w="0" w:type="dxa"/>
            <w:right w:w="0" w:type="dxa"/>
          </w:tblCellMar>
        </w:tblPrEx>
        <w:trPr>
          <w:trHeight w:val="285" w:hRule="atLeast"/>
        </w:trPr>
        <w:tc>
          <w:tcPr>
            <w:tcW w:w="1020"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80" w:type="dxa"/>
            <w:gridSpan w:val="2"/>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其他资金</w:t>
            </w:r>
          </w:p>
        </w:tc>
        <w:tc>
          <w:tcPr>
            <w:tcW w:w="10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c>
          <w:tcPr>
            <w:tcW w:w="98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c>
          <w:tcPr>
            <w:tcW w:w="1280"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c>
          <w:tcPr>
            <w:tcW w:w="692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r>
      <w:tr>
        <w:tblPrEx>
          <w:tblLayout w:type="fixed"/>
          <w:tblCellMar>
            <w:top w:w="0" w:type="dxa"/>
            <w:left w:w="0" w:type="dxa"/>
            <w:bottom w:w="0" w:type="dxa"/>
            <w:right w:w="0" w:type="dxa"/>
          </w:tblCellMar>
        </w:tblPrEx>
        <w:trPr>
          <w:trHeight w:val="282" w:hRule="atLeast"/>
        </w:trPr>
        <w:tc>
          <w:tcPr>
            <w:tcW w:w="1020"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年度总体目标</w:t>
            </w:r>
          </w:p>
        </w:tc>
        <w:tc>
          <w:tcPr>
            <w:tcW w:w="3780" w:type="dxa"/>
            <w:gridSpan w:val="3"/>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预期目标</w:t>
            </w:r>
          </w:p>
        </w:tc>
        <w:tc>
          <w:tcPr>
            <w:tcW w:w="9188" w:type="dxa"/>
            <w:gridSpan w:val="4"/>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实际完成情况</w:t>
            </w:r>
          </w:p>
        </w:tc>
      </w:tr>
      <w:tr>
        <w:tblPrEx>
          <w:tblLayout w:type="fixed"/>
          <w:tblCellMar>
            <w:top w:w="0" w:type="dxa"/>
            <w:left w:w="0" w:type="dxa"/>
            <w:bottom w:w="0" w:type="dxa"/>
            <w:right w:w="0" w:type="dxa"/>
          </w:tblCellMar>
        </w:tblPrEx>
        <w:trPr>
          <w:trHeight w:val="960" w:hRule="atLeast"/>
        </w:trPr>
        <w:tc>
          <w:tcPr>
            <w:tcW w:w="1020"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80" w:type="dxa"/>
            <w:gridSpan w:val="3"/>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全年开展计量检测6000以上批次，为15家企业提供科学、精确的检测数据，帮助企业进行分析，提高企业的质量管理能力。</w:t>
            </w:r>
          </w:p>
        </w:tc>
        <w:tc>
          <w:tcPr>
            <w:tcW w:w="9188" w:type="dxa"/>
            <w:gridSpan w:val="4"/>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通过技术机构的努力，全年计量检测批次超过6000批次，及时为企业提供科学、精确的检测数据，并与企业一道对检测过程中发现的问题及时找出原因，提出改进方案，进一步促进企业质量管理能力的提高和企业管理水平的提升，获得企业的广泛好评，经调查我们技术机构的服务满意度达到98.5%。</w:t>
            </w:r>
          </w:p>
        </w:tc>
      </w:tr>
      <w:tr>
        <w:tblPrEx>
          <w:tblLayout w:type="fixed"/>
          <w:tblCellMar>
            <w:top w:w="0" w:type="dxa"/>
            <w:left w:w="0" w:type="dxa"/>
            <w:bottom w:w="0" w:type="dxa"/>
            <w:right w:w="0" w:type="dxa"/>
          </w:tblCellMar>
        </w:tblPrEx>
        <w:trPr>
          <w:trHeight w:val="555" w:hRule="atLeast"/>
        </w:trPr>
        <w:tc>
          <w:tcPr>
            <w:tcW w:w="440" w:type="dxa"/>
            <w:vMerge w:val="restart"/>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绩效指标100分</w:t>
            </w:r>
          </w:p>
        </w:tc>
        <w:tc>
          <w:tcPr>
            <w:tcW w:w="58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一级指标</w:t>
            </w:r>
          </w:p>
        </w:tc>
        <w:tc>
          <w:tcPr>
            <w:tcW w:w="78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20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10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年度指标值</w:t>
            </w:r>
          </w:p>
        </w:tc>
        <w:tc>
          <w:tcPr>
            <w:tcW w:w="98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实际完成值</w:t>
            </w:r>
          </w:p>
        </w:tc>
        <w:tc>
          <w:tcPr>
            <w:tcW w:w="66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权重</w:t>
            </w:r>
          </w:p>
        </w:tc>
        <w:tc>
          <w:tcPr>
            <w:tcW w:w="62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得分</w:t>
            </w:r>
          </w:p>
        </w:tc>
        <w:tc>
          <w:tcPr>
            <w:tcW w:w="692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偏差原因分析及改进措施</w:t>
            </w:r>
          </w:p>
        </w:tc>
      </w:tr>
      <w:tr>
        <w:tblPrEx>
          <w:tblLayout w:type="fixed"/>
          <w:tblCellMar>
            <w:top w:w="0" w:type="dxa"/>
            <w:left w:w="0" w:type="dxa"/>
            <w:bottom w:w="0" w:type="dxa"/>
            <w:right w:w="0" w:type="dxa"/>
          </w:tblCellMar>
        </w:tblPrEx>
        <w:trPr>
          <w:trHeight w:val="420" w:hRule="atLeast"/>
        </w:trPr>
        <w:tc>
          <w:tcPr>
            <w:tcW w:w="44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80" w:type="dxa"/>
            <w:vMerge w:val="restart"/>
            <w:tcBorders>
              <w:top w:val="nil"/>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产出指标(50分)</w:t>
            </w:r>
          </w:p>
        </w:tc>
        <w:tc>
          <w:tcPr>
            <w:tcW w:w="780" w:type="dxa"/>
            <w:vMerge w:val="restart"/>
            <w:tcBorders>
              <w:top w:val="nil"/>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20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全年计量检测件数</w:t>
            </w:r>
          </w:p>
        </w:tc>
        <w:tc>
          <w:tcPr>
            <w:tcW w:w="100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8000</w:t>
            </w:r>
          </w:p>
        </w:tc>
        <w:tc>
          <w:tcPr>
            <w:tcW w:w="98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8402</w:t>
            </w:r>
          </w:p>
        </w:tc>
        <w:tc>
          <w:tcPr>
            <w:tcW w:w="66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w:t>
            </w:r>
          </w:p>
        </w:tc>
        <w:tc>
          <w:tcPr>
            <w:tcW w:w="62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w:t>
            </w:r>
          </w:p>
        </w:tc>
        <w:tc>
          <w:tcPr>
            <w:tcW w:w="692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r>
      <w:tr>
        <w:tblPrEx>
          <w:tblLayout w:type="fixed"/>
          <w:tblCellMar>
            <w:top w:w="0" w:type="dxa"/>
            <w:left w:w="0" w:type="dxa"/>
            <w:bottom w:w="0" w:type="dxa"/>
            <w:right w:w="0" w:type="dxa"/>
          </w:tblCellMar>
        </w:tblPrEx>
        <w:trPr>
          <w:trHeight w:val="420" w:hRule="atLeast"/>
        </w:trPr>
        <w:tc>
          <w:tcPr>
            <w:tcW w:w="44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80" w:type="dxa"/>
            <w:vMerge w:val="continue"/>
            <w:tcBorders>
              <w:top w:val="nil"/>
              <w:left w:val="single" w:color="auto" w:sz="4" w:space="0"/>
              <w:bottom w:val="nil"/>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80" w:type="dxa"/>
            <w:vMerge w:val="continue"/>
            <w:tcBorders>
              <w:top w:val="nil"/>
              <w:left w:val="single" w:color="auto" w:sz="4" w:space="0"/>
              <w:bottom w:val="nil"/>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网上办理条码家数</w:t>
            </w:r>
          </w:p>
        </w:tc>
        <w:tc>
          <w:tcPr>
            <w:tcW w:w="100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120</w:t>
            </w:r>
          </w:p>
        </w:tc>
        <w:tc>
          <w:tcPr>
            <w:tcW w:w="98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142</w:t>
            </w:r>
          </w:p>
        </w:tc>
        <w:tc>
          <w:tcPr>
            <w:tcW w:w="66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w:t>
            </w:r>
          </w:p>
        </w:tc>
        <w:tc>
          <w:tcPr>
            <w:tcW w:w="62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w:t>
            </w:r>
          </w:p>
        </w:tc>
        <w:tc>
          <w:tcPr>
            <w:tcW w:w="692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r>
      <w:tr>
        <w:tblPrEx>
          <w:tblLayout w:type="fixed"/>
          <w:tblCellMar>
            <w:top w:w="0" w:type="dxa"/>
            <w:left w:w="0" w:type="dxa"/>
            <w:bottom w:w="0" w:type="dxa"/>
            <w:right w:w="0" w:type="dxa"/>
          </w:tblCellMar>
        </w:tblPrEx>
        <w:trPr>
          <w:trHeight w:val="420" w:hRule="atLeast"/>
        </w:trPr>
        <w:tc>
          <w:tcPr>
            <w:tcW w:w="44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80" w:type="dxa"/>
            <w:vMerge w:val="continue"/>
            <w:tcBorders>
              <w:top w:val="nil"/>
              <w:left w:val="single" w:color="auto" w:sz="4" w:space="0"/>
              <w:bottom w:val="nil"/>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80" w:type="dxa"/>
            <w:vMerge w:val="restart"/>
            <w:tcBorders>
              <w:top w:val="single" w:color="auto" w:sz="4" w:space="0"/>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20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检测报告准时完成率</w:t>
            </w:r>
          </w:p>
        </w:tc>
        <w:tc>
          <w:tcPr>
            <w:tcW w:w="100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w:t>
            </w:r>
          </w:p>
        </w:tc>
        <w:tc>
          <w:tcPr>
            <w:tcW w:w="98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w:t>
            </w:r>
          </w:p>
        </w:tc>
        <w:tc>
          <w:tcPr>
            <w:tcW w:w="66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w:t>
            </w:r>
          </w:p>
        </w:tc>
        <w:tc>
          <w:tcPr>
            <w:tcW w:w="62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w:t>
            </w:r>
          </w:p>
        </w:tc>
        <w:tc>
          <w:tcPr>
            <w:tcW w:w="692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r>
      <w:tr>
        <w:tblPrEx>
          <w:tblLayout w:type="fixed"/>
          <w:tblCellMar>
            <w:top w:w="0" w:type="dxa"/>
            <w:left w:w="0" w:type="dxa"/>
            <w:bottom w:w="0" w:type="dxa"/>
            <w:right w:w="0" w:type="dxa"/>
          </w:tblCellMar>
        </w:tblPrEx>
        <w:trPr>
          <w:trHeight w:val="420" w:hRule="atLeast"/>
        </w:trPr>
        <w:tc>
          <w:tcPr>
            <w:tcW w:w="44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80" w:type="dxa"/>
            <w:vMerge w:val="continue"/>
            <w:tcBorders>
              <w:top w:val="nil"/>
              <w:left w:val="single" w:color="auto" w:sz="4" w:space="0"/>
              <w:bottom w:val="nil"/>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80" w:type="dxa"/>
            <w:vMerge w:val="continue"/>
            <w:tcBorders>
              <w:top w:val="single" w:color="auto" w:sz="4" w:space="0"/>
              <w:left w:val="single" w:color="auto" w:sz="4" w:space="0"/>
              <w:bottom w:val="nil"/>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检测数据准确率</w:t>
            </w:r>
          </w:p>
        </w:tc>
        <w:tc>
          <w:tcPr>
            <w:tcW w:w="100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w:t>
            </w:r>
          </w:p>
        </w:tc>
        <w:tc>
          <w:tcPr>
            <w:tcW w:w="98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w:t>
            </w:r>
          </w:p>
        </w:tc>
        <w:tc>
          <w:tcPr>
            <w:tcW w:w="66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w:t>
            </w:r>
          </w:p>
        </w:tc>
        <w:tc>
          <w:tcPr>
            <w:tcW w:w="62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w:t>
            </w:r>
          </w:p>
        </w:tc>
        <w:tc>
          <w:tcPr>
            <w:tcW w:w="692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r>
      <w:tr>
        <w:tblPrEx>
          <w:tblLayout w:type="fixed"/>
          <w:tblCellMar>
            <w:top w:w="0" w:type="dxa"/>
            <w:left w:w="0" w:type="dxa"/>
            <w:bottom w:w="0" w:type="dxa"/>
            <w:right w:w="0" w:type="dxa"/>
          </w:tblCellMar>
        </w:tblPrEx>
        <w:trPr>
          <w:trHeight w:val="330" w:hRule="atLeast"/>
        </w:trPr>
        <w:tc>
          <w:tcPr>
            <w:tcW w:w="44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80" w:type="dxa"/>
            <w:vMerge w:val="continue"/>
            <w:tcBorders>
              <w:top w:val="nil"/>
              <w:left w:val="single" w:color="auto" w:sz="4" w:space="0"/>
              <w:bottom w:val="nil"/>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80" w:type="dxa"/>
            <w:vMerge w:val="restart"/>
            <w:tcBorders>
              <w:top w:val="single" w:color="auto" w:sz="4" w:space="0"/>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20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100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c>
          <w:tcPr>
            <w:tcW w:w="98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c>
          <w:tcPr>
            <w:tcW w:w="66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c>
          <w:tcPr>
            <w:tcW w:w="62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c>
          <w:tcPr>
            <w:tcW w:w="692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r>
      <w:tr>
        <w:tblPrEx>
          <w:tblLayout w:type="fixed"/>
          <w:tblCellMar>
            <w:top w:w="0" w:type="dxa"/>
            <w:left w:w="0" w:type="dxa"/>
            <w:bottom w:w="0" w:type="dxa"/>
            <w:right w:w="0" w:type="dxa"/>
          </w:tblCellMar>
        </w:tblPrEx>
        <w:trPr>
          <w:trHeight w:val="330" w:hRule="atLeast"/>
        </w:trPr>
        <w:tc>
          <w:tcPr>
            <w:tcW w:w="44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80" w:type="dxa"/>
            <w:vMerge w:val="continue"/>
            <w:tcBorders>
              <w:top w:val="nil"/>
              <w:left w:val="single" w:color="auto" w:sz="4" w:space="0"/>
              <w:bottom w:val="nil"/>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80" w:type="dxa"/>
            <w:vMerge w:val="continue"/>
            <w:tcBorders>
              <w:top w:val="single" w:color="auto" w:sz="4" w:space="0"/>
              <w:left w:val="single" w:color="auto" w:sz="4" w:space="0"/>
              <w:bottom w:val="nil"/>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100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c>
          <w:tcPr>
            <w:tcW w:w="98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c>
          <w:tcPr>
            <w:tcW w:w="66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c>
          <w:tcPr>
            <w:tcW w:w="62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c>
          <w:tcPr>
            <w:tcW w:w="692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r>
      <w:tr>
        <w:tblPrEx>
          <w:tblLayout w:type="fixed"/>
          <w:tblCellMar>
            <w:top w:w="0" w:type="dxa"/>
            <w:left w:w="0" w:type="dxa"/>
            <w:bottom w:w="0" w:type="dxa"/>
            <w:right w:w="0" w:type="dxa"/>
          </w:tblCellMar>
        </w:tblPrEx>
        <w:trPr>
          <w:trHeight w:val="330" w:hRule="atLeast"/>
        </w:trPr>
        <w:tc>
          <w:tcPr>
            <w:tcW w:w="44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80" w:type="dxa"/>
            <w:vMerge w:val="continue"/>
            <w:tcBorders>
              <w:top w:val="nil"/>
              <w:left w:val="single" w:color="auto" w:sz="4" w:space="0"/>
              <w:bottom w:val="nil"/>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80" w:type="dxa"/>
            <w:vMerge w:val="restart"/>
            <w:tcBorders>
              <w:top w:val="single" w:color="auto" w:sz="4" w:space="0"/>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20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100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c>
          <w:tcPr>
            <w:tcW w:w="98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c>
          <w:tcPr>
            <w:tcW w:w="66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c>
          <w:tcPr>
            <w:tcW w:w="62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c>
          <w:tcPr>
            <w:tcW w:w="692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r>
      <w:tr>
        <w:tblPrEx>
          <w:tblLayout w:type="fixed"/>
          <w:tblCellMar>
            <w:top w:w="0" w:type="dxa"/>
            <w:left w:w="0" w:type="dxa"/>
            <w:bottom w:w="0" w:type="dxa"/>
            <w:right w:w="0" w:type="dxa"/>
          </w:tblCellMar>
        </w:tblPrEx>
        <w:trPr>
          <w:trHeight w:val="330" w:hRule="atLeast"/>
        </w:trPr>
        <w:tc>
          <w:tcPr>
            <w:tcW w:w="44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80" w:type="dxa"/>
            <w:vMerge w:val="continue"/>
            <w:tcBorders>
              <w:top w:val="nil"/>
              <w:left w:val="single" w:color="auto" w:sz="4" w:space="0"/>
              <w:bottom w:val="nil"/>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80" w:type="dxa"/>
            <w:vMerge w:val="continue"/>
            <w:tcBorders>
              <w:top w:val="single" w:color="auto" w:sz="4" w:space="0"/>
              <w:left w:val="single" w:color="auto" w:sz="4" w:space="0"/>
              <w:bottom w:val="nil"/>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100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c>
          <w:tcPr>
            <w:tcW w:w="98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c>
          <w:tcPr>
            <w:tcW w:w="66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c>
          <w:tcPr>
            <w:tcW w:w="62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c>
          <w:tcPr>
            <w:tcW w:w="692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r>
      <w:tr>
        <w:tblPrEx>
          <w:tblLayout w:type="fixed"/>
          <w:tblCellMar>
            <w:top w:w="0" w:type="dxa"/>
            <w:left w:w="0" w:type="dxa"/>
            <w:bottom w:w="0" w:type="dxa"/>
            <w:right w:w="0" w:type="dxa"/>
          </w:tblCellMar>
        </w:tblPrEx>
        <w:trPr>
          <w:trHeight w:val="555" w:hRule="atLeast"/>
        </w:trPr>
        <w:tc>
          <w:tcPr>
            <w:tcW w:w="44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80" w:type="dxa"/>
            <w:vMerge w:val="restart"/>
            <w:tcBorders>
              <w:top w:val="single" w:color="auto"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效益指标(45分)</w:t>
            </w:r>
          </w:p>
        </w:tc>
        <w:tc>
          <w:tcPr>
            <w:tcW w:w="780" w:type="dxa"/>
            <w:vMerge w:val="restart"/>
            <w:tcBorders>
              <w:top w:val="single" w:color="auto"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经济效益指标</w:t>
            </w:r>
          </w:p>
        </w:tc>
        <w:tc>
          <w:tcPr>
            <w:tcW w:w="20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预计为企业减免计量检测费用</w:t>
            </w:r>
          </w:p>
        </w:tc>
        <w:tc>
          <w:tcPr>
            <w:tcW w:w="100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60</w:t>
            </w:r>
            <w:r>
              <w:rPr>
                <w:rFonts w:hint="eastAsia" w:ascii="宋体" w:hAnsi="宋体" w:eastAsia="宋体" w:cs="宋体"/>
                <w:i w:val="0"/>
                <w:color w:val="000000"/>
                <w:kern w:val="0"/>
                <w:sz w:val="18"/>
                <w:szCs w:val="18"/>
                <w:u w:val="none"/>
                <w:lang w:val="en-US" w:eastAsia="zh-CN" w:bidi="ar"/>
              </w:rPr>
              <w:t>万元</w:t>
            </w:r>
          </w:p>
        </w:tc>
        <w:tc>
          <w:tcPr>
            <w:tcW w:w="98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68</w:t>
            </w:r>
            <w:r>
              <w:rPr>
                <w:rFonts w:hint="eastAsia" w:ascii="宋体" w:hAnsi="宋体" w:eastAsia="宋体" w:cs="宋体"/>
                <w:i w:val="0"/>
                <w:color w:val="000000"/>
                <w:kern w:val="0"/>
                <w:sz w:val="18"/>
                <w:szCs w:val="18"/>
                <w:u w:val="none"/>
                <w:lang w:val="en-US" w:eastAsia="zh-CN" w:bidi="ar"/>
              </w:rPr>
              <w:t>万元</w:t>
            </w:r>
          </w:p>
        </w:tc>
        <w:tc>
          <w:tcPr>
            <w:tcW w:w="66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w:t>
            </w:r>
          </w:p>
        </w:tc>
        <w:tc>
          <w:tcPr>
            <w:tcW w:w="620" w:type="dxa"/>
            <w:tcBorders>
              <w:top w:val="nil"/>
              <w:left w:val="nil"/>
              <w:bottom w:val="single" w:color="auto" w:sz="4" w:space="0"/>
              <w:right w:val="single" w:color="auto" w:sz="4" w:space="0"/>
            </w:tcBorders>
            <w:shd w:val="clear" w:color="000000"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w:t>
            </w:r>
          </w:p>
        </w:tc>
        <w:tc>
          <w:tcPr>
            <w:tcW w:w="692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r>
      <w:tr>
        <w:tblPrEx>
          <w:tblLayout w:type="fixed"/>
          <w:tblCellMar>
            <w:top w:w="0" w:type="dxa"/>
            <w:left w:w="0" w:type="dxa"/>
            <w:bottom w:w="0" w:type="dxa"/>
            <w:right w:w="0" w:type="dxa"/>
          </w:tblCellMar>
        </w:tblPrEx>
        <w:trPr>
          <w:trHeight w:val="315" w:hRule="atLeast"/>
        </w:trPr>
        <w:tc>
          <w:tcPr>
            <w:tcW w:w="44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80" w:type="dxa"/>
            <w:vMerge w:val="continue"/>
            <w:tcBorders>
              <w:top w:val="single" w:color="auto"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80" w:type="dxa"/>
            <w:vMerge w:val="continue"/>
            <w:tcBorders>
              <w:top w:val="single" w:color="auto"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10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c>
          <w:tcPr>
            <w:tcW w:w="98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c>
          <w:tcPr>
            <w:tcW w:w="66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c>
          <w:tcPr>
            <w:tcW w:w="62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c>
          <w:tcPr>
            <w:tcW w:w="692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r>
      <w:tr>
        <w:tblPrEx>
          <w:tblLayout w:type="fixed"/>
          <w:tblCellMar>
            <w:top w:w="0" w:type="dxa"/>
            <w:left w:w="0" w:type="dxa"/>
            <w:bottom w:w="0" w:type="dxa"/>
            <w:right w:w="0" w:type="dxa"/>
          </w:tblCellMar>
        </w:tblPrEx>
        <w:trPr>
          <w:trHeight w:val="420" w:hRule="atLeast"/>
        </w:trPr>
        <w:tc>
          <w:tcPr>
            <w:tcW w:w="44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80" w:type="dxa"/>
            <w:vMerge w:val="continue"/>
            <w:tcBorders>
              <w:top w:val="single" w:color="auto"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80" w:type="dxa"/>
            <w:vMerge w:val="restart"/>
            <w:tcBorders>
              <w:top w:val="nil"/>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p>
        </w:tc>
        <w:tc>
          <w:tcPr>
            <w:tcW w:w="20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企业质量管理能力提升</w:t>
            </w:r>
          </w:p>
        </w:tc>
        <w:tc>
          <w:tcPr>
            <w:tcW w:w="10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w:t>
            </w:r>
            <w:r>
              <w:rPr>
                <w:rFonts w:hint="eastAsia" w:ascii="宋体" w:hAnsi="宋体" w:eastAsia="宋体" w:cs="宋体"/>
                <w:i w:val="0"/>
                <w:color w:val="000000"/>
                <w:kern w:val="0"/>
                <w:sz w:val="18"/>
                <w:szCs w:val="18"/>
                <w:u w:val="none"/>
                <w:lang w:val="en-US" w:eastAsia="zh-CN" w:bidi="ar"/>
              </w:rPr>
              <w:t>家</w:t>
            </w:r>
          </w:p>
        </w:tc>
        <w:tc>
          <w:tcPr>
            <w:tcW w:w="98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w:t>
            </w:r>
            <w:r>
              <w:rPr>
                <w:rFonts w:hint="eastAsia" w:ascii="宋体" w:hAnsi="宋体" w:eastAsia="宋体" w:cs="宋体"/>
                <w:i w:val="0"/>
                <w:color w:val="000000"/>
                <w:kern w:val="0"/>
                <w:sz w:val="18"/>
                <w:szCs w:val="18"/>
                <w:u w:val="none"/>
                <w:lang w:val="en-US" w:eastAsia="zh-CN" w:bidi="ar"/>
              </w:rPr>
              <w:t>家</w:t>
            </w:r>
          </w:p>
        </w:tc>
        <w:tc>
          <w:tcPr>
            <w:tcW w:w="66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25</w:t>
            </w:r>
          </w:p>
        </w:tc>
        <w:tc>
          <w:tcPr>
            <w:tcW w:w="62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21.7</w:t>
            </w:r>
          </w:p>
        </w:tc>
        <w:tc>
          <w:tcPr>
            <w:tcW w:w="692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受疫情影响，上门服务时间受到限制，未完成目标家数</w:t>
            </w:r>
          </w:p>
        </w:tc>
      </w:tr>
      <w:tr>
        <w:tblPrEx>
          <w:tblLayout w:type="fixed"/>
          <w:tblCellMar>
            <w:top w:w="0" w:type="dxa"/>
            <w:left w:w="0" w:type="dxa"/>
            <w:bottom w:w="0" w:type="dxa"/>
            <w:right w:w="0" w:type="dxa"/>
          </w:tblCellMar>
        </w:tblPrEx>
        <w:trPr>
          <w:trHeight w:val="285" w:hRule="atLeast"/>
        </w:trPr>
        <w:tc>
          <w:tcPr>
            <w:tcW w:w="44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80" w:type="dxa"/>
            <w:vMerge w:val="continue"/>
            <w:tcBorders>
              <w:top w:val="single" w:color="auto"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80" w:type="dxa"/>
            <w:vMerge w:val="continue"/>
            <w:tcBorders>
              <w:top w:val="nil"/>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10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c>
          <w:tcPr>
            <w:tcW w:w="98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c>
          <w:tcPr>
            <w:tcW w:w="66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c>
          <w:tcPr>
            <w:tcW w:w="62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c>
          <w:tcPr>
            <w:tcW w:w="692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r>
      <w:tr>
        <w:tblPrEx>
          <w:tblLayout w:type="fixed"/>
          <w:tblCellMar>
            <w:top w:w="0" w:type="dxa"/>
            <w:left w:w="0" w:type="dxa"/>
            <w:bottom w:w="0" w:type="dxa"/>
            <w:right w:w="0" w:type="dxa"/>
          </w:tblCellMar>
        </w:tblPrEx>
        <w:trPr>
          <w:trHeight w:val="285" w:hRule="atLeast"/>
        </w:trPr>
        <w:tc>
          <w:tcPr>
            <w:tcW w:w="44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80" w:type="dxa"/>
            <w:vMerge w:val="continue"/>
            <w:tcBorders>
              <w:top w:val="single" w:color="auto"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80" w:type="dxa"/>
            <w:vMerge w:val="restart"/>
            <w:tcBorders>
              <w:top w:val="nil"/>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生态效益指标</w:t>
            </w:r>
          </w:p>
        </w:tc>
        <w:tc>
          <w:tcPr>
            <w:tcW w:w="20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10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c>
          <w:tcPr>
            <w:tcW w:w="98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c>
          <w:tcPr>
            <w:tcW w:w="66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c>
          <w:tcPr>
            <w:tcW w:w="62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c>
          <w:tcPr>
            <w:tcW w:w="692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r>
      <w:tr>
        <w:tblPrEx>
          <w:tblLayout w:type="fixed"/>
          <w:tblCellMar>
            <w:top w:w="0" w:type="dxa"/>
            <w:left w:w="0" w:type="dxa"/>
            <w:bottom w:w="0" w:type="dxa"/>
            <w:right w:w="0" w:type="dxa"/>
          </w:tblCellMar>
        </w:tblPrEx>
        <w:trPr>
          <w:trHeight w:val="285" w:hRule="atLeast"/>
        </w:trPr>
        <w:tc>
          <w:tcPr>
            <w:tcW w:w="44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80" w:type="dxa"/>
            <w:vMerge w:val="continue"/>
            <w:tcBorders>
              <w:top w:val="single" w:color="auto"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80" w:type="dxa"/>
            <w:vMerge w:val="continue"/>
            <w:tcBorders>
              <w:top w:val="nil"/>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10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c>
          <w:tcPr>
            <w:tcW w:w="98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c>
          <w:tcPr>
            <w:tcW w:w="66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c>
          <w:tcPr>
            <w:tcW w:w="62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c>
          <w:tcPr>
            <w:tcW w:w="692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r>
      <w:tr>
        <w:tblPrEx>
          <w:tblLayout w:type="fixed"/>
          <w:tblCellMar>
            <w:top w:w="0" w:type="dxa"/>
            <w:left w:w="0" w:type="dxa"/>
            <w:bottom w:w="0" w:type="dxa"/>
            <w:right w:w="0" w:type="dxa"/>
          </w:tblCellMar>
        </w:tblPrEx>
        <w:trPr>
          <w:trHeight w:val="285" w:hRule="atLeast"/>
        </w:trPr>
        <w:tc>
          <w:tcPr>
            <w:tcW w:w="44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80" w:type="dxa"/>
            <w:vMerge w:val="continue"/>
            <w:tcBorders>
              <w:top w:val="single" w:color="auto"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80" w:type="dxa"/>
            <w:vMerge w:val="restart"/>
            <w:tcBorders>
              <w:top w:val="nil"/>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可持续影响指标</w:t>
            </w:r>
          </w:p>
        </w:tc>
        <w:tc>
          <w:tcPr>
            <w:tcW w:w="20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10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c>
          <w:tcPr>
            <w:tcW w:w="98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c>
          <w:tcPr>
            <w:tcW w:w="66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c>
          <w:tcPr>
            <w:tcW w:w="62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c>
          <w:tcPr>
            <w:tcW w:w="692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r>
      <w:tr>
        <w:tblPrEx>
          <w:tblLayout w:type="fixed"/>
          <w:tblCellMar>
            <w:top w:w="0" w:type="dxa"/>
            <w:left w:w="0" w:type="dxa"/>
            <w:bottom w:w="0" w:type="dxa"/>
            <w:right w:w="0" w:type="dxa"/>
          </w:tblCellMar>
        </w:tblPrEx>
        <w:trPr>
          <w:trHeight w:val="285" w:hRule="atLeast"/>
        </w:trPr>
        <w:tc>
          <w:tcPr>
            <w:tcW w:w="44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80" w:type="dxa"/>
            <w:vMerge w:val="continue"/>
            <w:tcBorders>
              <w:top w:val="single" w:color="auto"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80" w:type="dxa"/>
            <w:vMerge w:val="continue"/>
            <w:tcBorders>
              <w:top w:val="nil"/>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10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c>
          <w:tcPr>
            <w:tcW w:w="98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c>
          <w:tcPr>
            <w:tcW w:w="66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c>
          <w:tcPr>
            <w:tcW w:w="62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c>
          <w:tcPr>
            <w:tcW w:w="692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r>
      <w:tr>
        <w:tblPrEx>
          <w:tblLayout w:type="fixed"/>
          <w:tblCellMar>
            <w:top w:w="0" w:type="dxa"/>
            <w:left w:w="0" w:type="dxa"/>
            <w:bottom w:w="0" w:type="dxa"/>
            <w:right w:w="0" w:type="dxa"/>
          </w:tblCellMar>
        </w:tblPrEx>
        <w:trPr>
          <w:trHeight w:val="420" w:hRule="atLeast"/>
        </w:trPr>
        <w:tc>
          <w:tcPr>
            <w:tcW w:w="44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80" w:type="dxa"/>
            <w:vMerge w:val="restart"/>
            <w:tcBorders>
              <w:top w:val="nil"/>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满意度指标(5分)</w:t>
            </w:r>
          </w:p>
        </w:tc>
        <w:tc>
          <w:tcPr>
            <w:tcW w:w="780" w:type="dxa"/>
            <w:vMerge w:val="restart"/>
            <w:tcBorders>
              <w:top w:val="nil"/>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服务对象等方面满意度指标</w:t>
            </w:r>
          </w:p>
        </w:tc>
        <w:tc>
          <w:tcPr>
            <w:tcW w:w="20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企业满意度指标</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≥95%</w:t>
            </w:r>
          </w:p>
        </w:tc>
        <w:tc>
          <w:tcPr>
            <w:tcW w:w="98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98.50%</w:t>
            </w:r>
          </w:p>
        </w:tc>
        <w:tc>
          <w:tcPr>
            <w:tcW w:w="66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62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w:t>
            </w:r>
          </w:p>
        </w:tc>
        <w:tc>
          <w:tcPr>
            <w:tcW w:w="692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r>
      <w:tr>
        <w:tblPrEx>
          <w:tblLayout w:type="fixed"/>
          <w:tblCellMar>
            <w:top w:w="0" w:type="dxa"/>
            <w:left w:w="0" w:type="dxa"/>
            <w:bottom w:w="0" w:type="dxa"/>
            <w:right w:w="0" w:type="dxa"/>
          </w:tblCellMar>
        </w:tblPrEx>
        <w:trPr>
          <w:trHeight w:val="600" w:hRule="atLeast"/>
        </w:trPr>
        <w:tc>
          <w:tcPr>
            <w:tcW w:w="440" w:type="dxa"/>
            <w:vMerge w:val="continue"/>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80" w:type="dxa"/>
            <w:vMerge w:val="continue"/>
            <w:tcBorders>
              <w:top w:val="nil"/>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80" w:type="dxa"/>
            <w:vMerge w:val="continue"/>
            <w:tcBorders>
              <w:top w:val="nil"/>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0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100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c>
          <w:tcPr>
            <w:tcW w:w="98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c>
          <w:tcPr>
            <w:tcW w:w="66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c>
          <w:tcPr>
            <w:tcW w:w="62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c>
          <w:tcPr>
            <w:tcW w:w="692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r>
      <w:tr>
        <w:tblPrEx>
          <w:tblLayout w:type="fixed"/>
          <w:tblCellMar>
            <w:top w:w="0" w:type="dxa"/>
            <w:left w:w="0" w:type="dxa"/>
            <w:bottom w:w="0" w:type="dxa"/>
            <w:right w:w="0" w:type="dxa"/>
          </w:tblCellMar>
        </w:tblPrEx>
        <w:trPr>
          <w:trHeight w:val="342" w:hRule="atLeast"/>
        </w:trPr>
        <w:tc>
          <w:tcPr>
            <w:tcW w:w="5780" w:type="dxa"/>
            <w:gridSpan w:val="6"/>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总  分</w:t>
            </w:r>
          </w:p>
        </w:tc>
        <w:tc>
          <w:tcPr>
            <w:tcW w:w="66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100</w:t>
            </w:r>
          </w:p>
        </w:tc>
        <w:tc>
          <w:tcPr>
            <w:tcW w:w="62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96.7</w:t>
            </w:r>
          </w:p>
        </w:tc>
        <w:tc>
          <w:tcPr>
            <w:tcW w:w="692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w:t>
            </w:r>
          </w:p>
        </w:tc>
      </w:tr>
      <w:tr>
        <w:tblPrEx>
          <w:tblLayout w:type="fixed"/>
          <w:tblCellMar>
            <w:top w:w="0" w:type="dxa"/>
            <w:left w:w="0" w:type="dxa"/>
            <w:bottom w:w="0" w:type="dxa"/>
            <w:right w:w="0" w:type="dxa"/>
          </w:tblCellMar>
        </w:tblPrEx>
        <w:trPr>
          <w:trHeight w:val="915" w:hRule="atLeast"/>
        </w:trPr>
        <w:tc>
          <w:tcPr>
            <w:tcW w:w="1800"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自评结论</w:t>
            </w:r>
          </w:p>
        </w:tc>
        <w:tc>
          <w:tcPr>
            <w:tcW w:w="200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w:t>
            </w:r>
          </w:p>
        </w:tc>
        <w:tc>
          <w:tcPr>
            <w:tcW w:w="10188" w:type="dxa"/>
            <w:gridSpan w:val="5"/>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说明：1.总分90分（含）以上的，执行率91%(含)以上自评结论为“优”，50%（含）-91%为“良”，低于50%为“中”；2.总分90-80分（含）的，执行率50%（含）以上结论为“良”，低于50%为“中”；3.指标得分80-60分（含），结论为“中”；4.总分低于60分的，结论为“差”。</w:t>
            </w:r>
          </w:p>
        </w:tc>
      </w:tr>
      <w:tr>
        <w:tblPrEx>
          <w:tblLayout w:type="fixed"/>
          <w:tblCellMar>
            <w:top w:w="0" w:type="dxa"/>
            <w:left w:w="0" w:type="dxa"/>
            <w:bottom w:w="0" w:type="dxa"/>
            <w:right w:w="0" w:type="dxa"/>
          </w:tblCellMar>
        </w:tblPrEx>
        <w:trPr>
          <w:trHeight w:val="360" w:hRule="atLeast"/>
        </w:trPr>
        <w:tc>
          <w:tcPr>
            <w:tcW w:w="13988"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单位负责人：陶亚娟       填报人： 赵炳忠      联系电话：13857908051       填报日期：2022.04.08</w:t>
            </w:r>
          </w:p>
        </w:tc>
      </w:tr>
      <w:tr>
        <w:tblPrEx>
          <w:tblLayout w:type="fixed"/>
          <w:tblCellMar>
            <w:top w:w="0" w:type="dxa"/>
            <w:left w:w="0" w:type="dxa"/>
            <w:bottom w:w="0" w:type="dxa"/>
            <w:right w:w="0" w:type="dxa"/>
          </w:tblCellMar>
        </w:tblPrEx>
        <w:trPr>
          <w:trHeight w:val="360" w:hRule="atLeast"/>
        </w:trPr>
        <w:tc>
          <w:tcPr>
            <w:tcW w:w="13988"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p>
        </w:tc>
      </w:tr>
    </w:tbl>
    <w:p>
      <w:pPr>
        <w:pStyle w:val="2"/>
        <w:rPr>
          <w:rFonts w:hint="eastAsia"/>
        </w:rPr>
        <w:sectPr>
          <w:pgSz w:w="16838" w:h="11906" w:orient="landscape"/>
          <w:pgMar w:top="1800" w:right="1440" w:bottom="1800" w:left="1440" w:header="851" w:footer="992" w:gutter="0"/>
          <w:cols w:space="425" w:num="1"/>
          <w:docGrid w:type="lines" w:linePitch="312" w:charSpace="0"/>
        </w:sectPr>
      </w:pPr>
    </w:p>
    <w:p>
      <w:pPr>
        <w:pStyle w:val="2"/>
        <w:rPr>
          <w:rFonts w:hint="eastAsia"/>
        </w:rPr>
      </w:pPr>
    </w:p>
    <w:p>
      <w:pPr>
        <w:numPr>
          <w:ilvl w:val="0"/>
          <w:numId w:val="2"/>
        </w:numPr>
        <w:spacing w:line="500" w:lineRule="exact"/>
        <w:ind w:firstLine="594"/>
        <w:rPr>
          <w:rFonts w:ascii="仿宋" w:hAnsi="仿宋" w:eastAsia="仿宋"/>
          <w:b/>
          <w:bCs/>
          <w:color w:val="000000"/>
          <w:sz w:val="28"/>
          <w:szCs w:val="28"/>
          <w:highlight w:val="white"/>
        </w:rPr>
      </w:pPr>
      <w:r>
        <w:rPr>
          <w:rFonts w:hint="eastAsia" w:ascii="仿宋" w:hAnsi="仿宋" w:eastAsia="仿宋"/>
          <w:b/>
          <w:bCs/>
          <w:color w:val="000000"/>
          <w:sz w:val="28"/>
          <w:szCs w:val="28"/>
          <w:highlight w:val="white"/>
        </w:rPr>
        <w:t>财政评价项目绩效评价结果：</w:t>
      </w:r>
      <w:r>
        <w:rPr>
          <w:rFonts w:hint="eastAsia" w:ascii="仿宋" w:hAnsi="仿宋" w:eastAsia="仿宋"/>
          <w:color w:val="000000"/>
          <w:sz w:val="28"/>
          <w:szCs w:val="28"/>
          <w:highlight w:val="white"/>
        </w:rPr>
        <w:t>无。</w:t>
      </w:r>
    </w:p>
    <w:p>
      <w:pPr>
        <w:spacing w:line="500" w:lineRule="exact"/>
        <w:ind w:firstLine="560" w:firstLineChars="200"/>
        <w:rPr>
          <w:rFonts w:hint="eastAsia" w:ascii="仿宋" w:hAnsi="仿宋" w:eastAsia="仿宋"/>
          <w:b/>
          <w:bCs/>
          <w:color w:val="000000"/>
          <w:sz w:val="28"/>
          <w:szCs w:val="28"/>
          <w:highlight w:val="white"/>
          <w:u w:val="single"/>
        </w:rPr>
      </w:pPr>
      <w:r>
        <w:rPr>
          <w:rFonts w:hint="eastAsia" w:ascii="仿宋" w:hAnsi="仿宋" w:eastAsia="仿宋"/>
          <w:b/>
          <w:bCs/>
          <w:color w:val="000000"/>
          <w:sz w:val="28"/>
          <w:szCs w:val="28"/>
          <w:highlight w:val="white"/>
        </w:rPr>
        <w:t>4.部门评价项目绩效评价结果：</w:t>
      </w:r>
      <w:r>
        <w:rPr>
          <w:rFonts w:hint="eastAsia" w:ascii="仿宋" w:hAnsi="仿宋" w:eastAsia="仿宋"/>
          <w:color w:val="000000"/>
          <w:sz w:val="28"/>
          <w:szCs w:val="28"/>
          <w:highlight w:val="white"/>
        </w:rPr>
        <w:t>无。</w:t>
      </w:r>
    </w:p>
    <w:p>
      <w:pPr>
        <w:spacing w:line="500" w:lineRule="exact"/>
        <w:ind w:firstLine="594"/>
        <w:rPr>
          <w:rFonts w:hint="eastAsia"/>
          <w:sz w:val="28"/>
          <w:szCs w:val="28"/>
          <w:highlight w:val="white"/>
        </w:rPr>
      </w:pPr>
      <w:r>
        <w:rPr>
          <w:rFonts w:hint="eastAsia" w:ascii="仿宋" w:hAnsi="仿宋" w:eastAsia="仿宋"/>
          <w:sz w:val="28"/>
          <w:szCs w:val="28"/>
          <w:highlight w:val="white"/>
        </w:rPr>
        <w:t>说明：</w:t>
      </w:r>
      <w:r>
        <w:rPr>
          <w:rFonts w:hint="eastAsia" w:ascii="仿宋" w:hAnsi="仿宋" w:eastAsia="仿宋"/>
          <w:b/>
          <w:bCs/>
          <w:sz w:val="28"/>
          <w:szCs w:val="28"/>
          <w:highlight w:val="white"/>
        </w:rPr>
        <w:t>部门评价项目</w:t>
      </w:r>
      <w:r>
        <w:rPr>
          <w:rFonts w:hint="eastAsia" w:ascii="仿宋" w:hAnsi="仿宋" w:eastAsia="仿宋"/>
          <w:sz w:val="28"/>
          <w:szCs w:val="28"/>
          <w:highlight w:val="white"/>
        </w:rPr>
        <w:t>是指本部门自行开展的评价对象为本部门政策、项目、整体支出或下属单位整体支出的绩效评价；</w:t>
      </w:r>
      <w:r>
        <w:rPr>
          <w:rFonts w:hint="eastAsia" w:ascii="仿宋" w:hAnsi="仿宋" w:eastAsia="仿宋"/>
          <w:b/>
          <w:bCs/>
          <w:sz w:val="28"/>
          <w:szCs w:val="28"/>
          <w:highlight w:val="white"/>
        </w:rPr>
        <w:t>财政评价项目</w:t>
      </w:r>
      <w:r>
        <w:rPr>
          <w:rFonts w:hint="eastAsia" w:ascii="仿宋" w:hAnsi="仿宋" w:eastAsia="仿宋"/>
          <w:sz w:val="28"/>
          <w:szCs w:val="28"/>
          <w:highlight w:val="white"/>
        </w:rPr>
        <w:t>是指以由财政部门开展的评价对象为本部门政策、项目或整体支出的绩效评价项目。</w:t>
      </w:r>
    </w:p>
    <w:p>
      <w:pPr>
        <w:spacing w:line="500" w:lineRule="exact"/>
        <w:ind w:firstLine="600"/>
        <w:rPr>
          <w:b/>
          <w:bCs/>
          <w:color w:val="000000"/>
          <w:sz w:val="28"/>
          <w:szCs w:val="28"/>
        </w:rPr>
      </w:pPr>
      <w:r>
        <w:rPr>
          <w:rFonts w:hint="eastAsia" w:ascii="黑体" w:hAnsi="黑体" w:eastAsia="黑体"/>
          <w:b/>
          <w:bCs/>
          <w:color w:val="000000"/>
          <w:sz w:val="28"/>
          <w:szCs w:val="28"/>
        </w:rPr>
        <w:t>四、名词解释</w:t>
      </w:r>
    </w:p>
    <w:p>
      <w:pPr>
        <w:spacing w:line="500" w:lineRule="exact"/>
        <w:ind w:firstLine="594"/>
        <w:rPr>
          <w:rFonts w:hint="eastAsia" w:ascii="仿宋" w:hAnsi="仿宋" w:eastAsia="仿宋"/>
          <w:sz w:val="28"/>
          <w:szCs w:val="28"/>
          <w:highlight w:val="white"/>
        </w:rPr>
      </w:pPr>
      <w:r>
        <w:rPr>
          <w:rFonts w:hint="eastAsia" w:ascii="仿宋" w:hAnsi="仿宋" w:eastAsia="仿宋"/>
          <w:sz w:val="28"/>
          <w:szCs w:val="28"/>
          <w:highlight w:val="white"/>
        </w:rPr>
        <w:t>1.财政拨款收入：指本级财政部门当年拨付的财政预算资金，包括一般公共预算财政拨款、政府性基金预算财政拨款和国有资本经预算财政拨款。</w:t>
      </w:r>
    </w:p>
    <w:p>
      <w:pPr>
        <w:spacing w:line="500" w:lineRule="exact"/>
        <w:ind w:firstLine="594"/>
        <w:rPr>
          <w:rFonts w:hint="eastAsia" w:ascii="仿宋" w:hAnsi="仿宋" w:eastAsia="仿宋"/>
          <w:sz w:val="28"/>
          <w:szCs w:val="28"/>
          <w:highlight w:val="white"/>
        </w:rPr>
      </w:pPr>
      <w:r>
        <w:rPr>
          <w:rFonts w:hint="eastAsia" w:ascii="仿宋" w:hAnsi="仿宋" w:eastAsia="仿宋"/>
          <w:sz w:val="28"/>
          <w:szCs w:val="28"/>
          <w:highlight w:val="white"/>
        </w:rPr>
        <w:t>2.事业收入：指事业单位开展专业业务活动及辅助活动所取得的收入。</w:t>
      </w:r>
    </w:p>
    <w:p>
      <w:pPr>
        <w:spacing w:line="500" w:lineRule="exact"/>
        <w:ind w:firstLine="594"/>
        <w:rPr>
          <w:rFonts w:hint="eastAsia" w:ascii="仿宋" w:hAnsi="仿宋" w:eastAsia="仿宋"/>
          <w:sz w:val="28"/>
          <w:szCs w:val="28"/>
          <w:highlight w:val="white"/>
        </w:rPr>
      </w:pPr>
      <w:r>
        <w:rPr>
          <w:rFonts w:hint="eastAsia" w:ascii="仿宋" w:hAnsi="仿宋" w:eastAsia="仿宋"/>
          <w:sz w:val="28"/>
          <w:szCs w:val="28"/>
          <w:highlight w:val="white"/>
        </w:rPr>
        <w:t>3.经营收入：指事业单位在专业业务活动及辅助活动之外开展非独立核算经营活动取得的收入。</w:t>
      </w:r>
    </w:p>
    <w:p>
      <w:pPr>
        <w:spacing w:line="500" w:lineRule="exact"/>
        <w:ind w:firstLine="594"/>
        <w:rPr>
          <w:rFonts w:hint="eastAsia" w:ascii="仿宋" w:hAnsi="仿宋" w:eastAsia="仿宋"/>
          <w:sz w:val="28"/>
          <w:szCs w:val="28"/>
          <w:highlight w:val="white"/>
        </w:rPr>
      </w:pPr>
      <w:r>
        <w:rPr>
          <w:rFonts w:hint="eastAsia" w:ascii="仿宋" w:hAnsi="仿宋" w:eastAsia="仿宋"/>
          <w:sz w:val="28"/>
          <w:szCs w:val="28"/>
          <w:highlight w:val="white"/>
        </w:rPr>
        <w:t>4.上级补助收入：指事业单位从主管部门和上级单位取得的非财政补助收入。</w:t>
      </w:r>
    </w:p>
    <w:p>
      <w:pPr>
        <w:spacing w:line="500" w:lineRule="exact"/>
        <w:ind w:firstLine="594"/>
        <w:rPr>
          <w:rFonts w:hint="eastAsia" w:ascii="仿宋" w:hAnsi="仿宋" w:eastAsia="仿宋"/>
          <w:sz w:val="28"/>
          <w:szCs w:val="28"/>
          <w:highlight w:val="white"/>
        </w:rPr>
      </w:pPr>
      <w:r>
        <w:rPr>
          <w:rFonts w:hint="eastAsia" w:ascii="仿宋" w:hAnsi="仿宋" w:eastAsia="仿宋"/>
          <w:sz w:val="28"/>
          <w:szCs w:val="28"/>
          <w:highlight w:val="white"/>
        </w:rPr>
        <w:t>5.附属单位上缴收入：指事业单位附属独立核算单位按照有关规定上缴的收入。</w:t>
      </w:r>
    </w:p>
    <w:p>
      <w:pPr>
        <w:spacing w:line="500" w:lineRule="exact"/>
        <w:ind w:firstLine="594"/>
        <w:rPr>
          <w:rFonts w:hint="eastAsia" w:ascii="仿宋" w:hAnsi="仿宋" w:eastAsia="仿宋"/>
          <w:sz w:val="28"/>
          <w:szCs w:val="28"/>
          <w:highlight w:val="white"/>
        </w:rPr>
      </w:pPr>
      <w:r>
        <w:rPr>
          <w:rFonts w:hint="eastAsia" w:ascii="仿宋" w:hAnsi="仿宋" w:eastAsia="仿宋"/>
          <w:sz w:val="28"/>
          <w:szCs w:val="28"/>
          <w:highlight w:val="white"/>
        </w:rPr>
        <w:t>6.其他收入：指预算单位在“财政拨款”、“事业收入”、“经营收入”、“上级补助收入”、“附属单位上缴收入”等之外取得的各项收入。</w:t>
      </w:r>
    </w:p>
    <w:p>
      <w:pPr>
        <w:spacing w:line="500" w:lineRule="exact"/>
        <w:ind w:firstLine="594"/>
        <w:rPr>
          <w:rFonts w:hint="eastAsia" w:ascii="仿宋" w:hAnsi="仿宋" w:eastAsia="仿宋"/>
          <w:sz w:val="28"/>
          <w:szCs w:val="28"/>
          <w:highlight w:val="white"/>
        </w:rPr>
      </w:pPr>
      <w:r>
        <w:rPr>
          <w:rFonts w:hint="eastAsia" w:ascii="仿宋" w:hAnsi="仿宋" w:eastAsia="仿宋"/>
          <w:sz w:val="28"/>
          <w:szCs w:val="28"/>
          <w:highlight w:val="white"/>
        </w:rPr>
        <w:t>7.使用非财政拨款结余：指事业单位使用以前年度积累的非财政拨款结余弥补当年收支差额的金额。</w:t>
      </w:r>
    </w:p>
    <w:p>
      <w:pPr>
        <w:spacing w:line="500" w:lineRule="exact"/>
        <w:ind w:firstLine="594"/>
        <w:rPr>
          <w:rFonts w:hint="eastAsia" w:ascii="仿宋" w:hAnsi="仿宋" w:eastAsia="仿宋"/>
          <w:sz w:val="28"/>
          <w:szCs w:val="28"/>
          <w:highlight w:val="white"/>
        </w:rPr>
      </w:pPr>
      <w:r>
        <w:rPr>
          <w:rFonts w:hint="eastAsia" w:ascii="仿宋" w:hAnsi="仿宋" w:eastAsia="仿宋"/>
          <w:sz w:val="28"/>
          <w:szCs w:val="28"/>
          <w:highlight w:val="white"/>
        </w:rPr>
        <w:t>8.年初结转和结余：指预算单位以前年度尚未完成、结转到本年仍按原规定用途继续使用的资金。</w:t>
      </w:r>
    </w:p>
    <w:p>
      <w:pPr>
        <w:spacing w:line="500" w:lineRule="exact"/>
        <w:ind w:firstLine="594"/>
        <w:rPr>
          <w:rFonts w:hint="eastAsia" w:ascii="仿宋" w:hAnsi="仿宋" w:eastAsia="仿宋"/>
          <w:sz w:val="28"/>
          <w:szCs w:val="28"/>
          <w:highlight w:val="white"/>
        </w:rPr>
      </w:pPr>
      <w:r>
        <w:rPr>
          <w:rFonts w:hint="eastAsia" w:ascii="仿宋" w:hAnsi="仿宋" w:eastAsia="仿宋"/>
          <w:sz w:val="28"/>
          <w:szCs w:val="28"/>
          <w:highlight w:val="white"/>
        </w:rPr>
        <w:t>9.年末结转和结余：指单位按有关规定结转到下年或以后年度继续使用的资金。</w:t>
      </w:r>
    </w:p>
    <w:p>
      <w:pPr>
        <w:spacing w:line="500" w:lineRule="exact"/>
        <w:ind w:firstLine="594"/>
        <w:rPr>
          <w:rFonts w:hint="eastAsia" w:ascii="仿宋" w:hAnsi="仿宋" w:eastAsia="仿宋"/>
          <w:sz w:val="28"/>
          <w:szCs w:val="28"/>
          <w:highlight w:val="white"/>
        </w:rPr>
      </w:pPr>
      <w:r>
        <w:rPr>
          <w:rFonts w:hint="eastAsia" w:ascii="仿宋" w:hAnsi="仿宋" w:eastAsia="仿宋"/>
          <w:sz w:val="28"/>
          <w:szCs w:val="28"/>
          <w:highlight w:val="white"/>
        </w:rPr>
        <w:t>10.基本支出：指预算单位为保障其正常运转，完成日常工作任务所发生的支出，包括人员经费支出和日常公用经费支出。</w:t>
      </w:r>
    </w:p>
    <w:p>
      <w:pPr>
        <w:spacing w:line="500" w:lineRule="exact"/>
        <w:ind w:firstLine="594"/>
        <w:rPr>
          <w:rFonts w:hint="eastAsia" w:ascii="仿宋" w:hAnsi="仿宋" w:eastAsia="仿宋"/>
          <w:sz w:val="28"/>
          <w:szCs w:val="28"/>
          <w:highlight w:val="white"/>
        </w:rPr>
      </w:pPr>
      <w:r>
        <w:rPr>
          <w:rFonts w:hint="eastAsia" w:ascii="仿宋" w:hAnsi="仿宋" w:eastAsia="仿宋"/>
          <w:sz w:val="28"/>
          <w:szCs w:val="28"/>
          <w:highlight w:val="white"/>
        </w:rPr>
        <w:t>11.项目支出：指预算单位为完成其特定的行政工作任务或事业发展目标所发生的支出。</w:t>
      </w:r>
    </w:p>
    <w:p>
      <w:pPr>
        <w:spacing w:line="500" w:lineRule="exact"/>
        <w:ind w:firstLine="594"/>
        <w:rPr>
          <w:rFonts w:hint="eastAsia" w:ascii="仿宋" w:hAnsi="仿宋" w:eastAsia="仿宋"/>
          <w:sz w:val="28"/>
          <w:szCs w:val="28"/>
          <w:highlight w:val="white"/>
        </w:rPr>
      </w:pPr>
      <w:r>
        <w:rPr>
          <w:rFonts w:hint="eastAsia" w:ascii="仿宋" w:hAnsi="仿宋" w:eastAsia="仿宋"/>
          <w:sz w:val="28"/>
          <w:szCs w:val="28"/>
          <w:highlight w:val="white"/>
        </w:rPr>
        <w:t>12.上缴上级支出：填列事业单位按照财政部门和主管部门的规定上缴上级单位的支出。</w:t>
      </w:r>
    </w:p>
    <w:p>
      <w:pPr>
        <w:spacing w:line="500" w:lineRule="exact"/>
        <w:ind w:firstLine="594"/>
        <w:rPr>
          <w:rFonts w:hint="eastAsia" w:ascii="仿宋" w:hAnsi="仿宋" w:eastAsia="仿宋"/>
          <w:sz w:val="28"/>
          <w:szCs w:val="28"/>
          <w:highlight w:val="white"/>
        </w:rPr>
      </w:pPr>
      <w:r>
        <w:rPr>
          <w:rFonts w:hint="eastAsia" w:ascii="仿宋" w:hAnsi="仿宋" w:eastAsia="仿宋"/>
          <w:sz w:val="28"/>
          <w:szCs w:val="28"/>
          <w:highlight w:val="white"/>
        </w:rPr>
        <w:t>13.经营支出：指事业单位在专业业务活动及其辅助活动之外开展非独立核算经营活动发生的支出。</w:t>
      </w:r>
    </w:p>
    <w:p>
      <w:pPr>
        <w:spacing w:line="500" w:lineRule="exact"/>
        <w:ind w:firstLine="594"/>
        <w:rPr>
          <w:rFonts w:hint="eastAsia" w:ascii="仿宋" w:hAnsi="仿宋" w:eastAsia="仿宋"/>
          <w:sz w:val="28"/>
          <w:szCs w:val="28"/>
          <w:highlight w:val="white"/>
        </w:rPr>
      </w:pPr>
      <w:r>
        <w:rPr>
          <w:rFonts w:hint="eastAsia" w:ascii="仿宋" w:hAnsi="仿宋" w:eastAsia="仿宋"/>
          <w:sz w:val="28"/>
          <w:szCs w:val="28"/>
          <w:highlight w:val="white"/>
        </w:rPr>
        <w:t>14.附属单位补助支出：填列事业单位用财政补助收入之外的收入对附属单位补助发生的支出。</w:t>
      </w:r>
    </w:p>
    <w:p>
      <w:pPr>
        <w:spacing w:line="500" w:lineRule="exact"/>
        <w:ind w:firstLine="594"/>
        <w:rPr>
          <w:rFonts w:hint="eastAsia" w:ascii="仿宋" w:hAnsi="仿宋" w:eastAsia="仿宋"/>
          <w:sz w:val="28"/>
          <w:szCs w:val="28"/>
          <w:highlight w:val="white"/>
        </w:rPr>
      </w:pPr>
      <w:r>
        <w:rPr>
          <w:rFonts w:hint="eastAsia" w:ascii="仿宋" w:hAnsi="仿宋" w:eastAsia="仿宋"/>
          <w:sz w:val="28"/>
          <w:szCs w:val="28"/>
          <w:highlight w:val="white"/>
        </w:rPr>
        <w:t>15.“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pacing w:line="500" w:lineRule="exact"/>
        <w:ind w:firstLine="594"/>
        <w:rPr>
          <w:rFonts w:hint="eastAsia" w:ascii="仿宋" w:hAnsi="仿宋" w:eastAsia="仿宋"/>
          <w:sz w:val="28"/>
          <w:szCs w:val="28"/>
          <w:highlight w:val="white"/>
        </w:rPr>
      </w:pPr>
      <w:r>
        <w:rPr>
          <w:rFonts w:hint="eastAsia" w:ascii="仿宋" w:hAnsi="仿宋" w:eastAsia="仿宋"/>
          <w:sz w:val="28"/>
          <w:szCs w:val="28"/>
          <w:highlight w:val="white"/>
        </w:rPr>
        <w:t>16.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94"/>
        <w:rPr>
          <w:rFonts w:hint="eastAsia" w:ascii="仿宋" w:hAnsi="仿宋" w:eastAsia="仿宋"/>
          <w:sz w:val="28"/>
          <w:szCs w:val="28"/>
          <w:highlight w:val="white"/>
        </w:rPr>
      </w:pPr>
      <w:r>
        <w:rPr>
          <w:rFonts w:hint="eastAsia" w:ascii="仿宋" w:hAnsi="仿宋" w:eastAsia="仿宋"/>
          <w:sz w:val="28"/>
          <w:szCs w:val="28"/>
          <w:highlight w:val="white"/>
        </w:rPr>
        <w:t>17. 2013850事业运行：指反映事业单位的基本支出，不包括行政单位（包括实行公务员管理的事业单位）后勤服务中心、医务室等附属事业单位。</w:t>
      </w:r>
    </w:p>
    <w:p>
      <w:pPr>
        <w:spacing w:line="500" w:lineRule="exact"/>
        <w:ind w:firstLine="594"/>
        <w:rPr>
          <w:rFonts w:hint="eastAsia" w:ascii="仿宋" w:hAnsi="仿宋" w:eastAsia="仿宋"/>
          <w:sz w:val="28"/>
          <w:szCs w:val="28"/>
          <w:highlight w:val="white"/>
        </w:rPr>
      </w:pPr>
      <w:r>
        <w:rPr>
          <w:rFonts w:hint="eastAsia" w:ascii="仿宋" w:hAnsi="仿宋" w:eastAsia="仿宋"/>
          <w:sz w:val="28"/>
          <w:szCs w:val="28"/>
          <w:highlight w:val="white"/>
        </w:rPr>
        <w:t>18. 2013899 其他市场监督管理事务：指反映用于除上述项目以外其他市场监督管理事务方面的支出。</w:t>
      </w:r>
    </w:p>
    <w:p>
      <w:pPr>
        <w:spacing w:line="500" w:lineRule="exact"/>
        <w:ind w:firstLine="594"/>
        <w:rPr>
          <w:rFonts w:hint="eastAsia" w:ascii="仿宋" w:hAnsi="仿宋" w:eastAsia="仿宋"/>
          <w:sz w:val="28"/>
          <w:szCs w:val="28"/>
          <w:highlight w:val="white"/>
        </w:rPr>
      </w:pPr>
      <w:r>
        <w:rPr>
          <w:rFonts w:hint="eastAsia" w:ascii="仿宋" w:hAnsi="仿宋" w:eastAsia="仿宋"/>
          <w:sz w:val="28"/>
          <w:szCs w:val="28"/>
          <w:highlight w:val="white"/>
        </w:rPr>
        <w:t xml:space="preserve"> </w:t>
      </w:r>
    </w:p>
    <w:p>
      <w:pPr>
        <w:spacing w:line="500" w:lineRule="exact"/>
        <w:ind w:firstLine="594"/>
        <w:rPr>
          <w:rFonts w:hint="eastAsia" w:ascii="仿宋" w:hAnsi="仿宋" w:eastAsia="仿宋"/>
          <w:sz w:val="28"/>
          <w:szCs w:val="28"/>
          <w:highlight w:val="white"/>
        </w:rPr>
      </w:pPr>
      <w:r>
        <w:rPr>
          <w:rFonts w:hint="eastAsia" w:ascii="仿宋" w:hAnsi="仿宋" w:eastAsia="仿宋"/>
          <w:sz w:val="28"/>
          <w:szCs w:val="28"/>
          <w:highlight w:val="white"/>
        </w:rPr>
        <w:t xml:space="preserve"> </w:t>
      </w:r>
    </w:p>
    <w:p>
      <w:pPr>
        <w:spacing w:line="500" w:lineRule="exact"/>
        <w:ind w:firstLine="594"/>
        <w:rPr>
          <w:rFonts w:hint="eastAsia" w:ascii="仿宋" w:hAnsi="仿宋" w:eastAsia="仿宋"/>
          <w:sz w:val="28"/>
          <w:szCs w:val="28"/>
          <w:highlight w:val="white"/>
        </w:rPr>
      </w:pPr>
      <w:r>
        <w:rPr>
          <w:rFonts w:hint="eastAsia" w:ascii="仿宋" w:hAnsi="仿宋" w:eastAsia="仿宋"/>
          <w:sz w:val="28"/>
          <w:szCs w:val="28"/>
          <w:highlight w:val="white"/>
        </w:rPr>
        <w:t xml:space="preserve"> </w:t>
      </w:r>
    </w:p>
    <w:p>
      <w:pPr>
        <w:spacing w:line="500" w:lineRule="exact"/>
        <w:ind w:firstLine="594"/>
        <w:rPr>
          <w:rFonts w:hint="eastAsia" w:ascii="仿宋" w:hAnsi="仿宋" w:eastAsia="仿宋"/>
          <w:sz w:val="28"/>
          <w:szCs w:val="28"/>
          <w:highlight w:val="white"/>
        </w:rPr>
      </w:pPr>
      <w:r>
        <w:rPr>
          <w:rFonts w:hint="eastAsia" w:ascii="仿宋" w:hAnsi="仿宋" w:eastAsia="仿宋"/>
          <w:sz w:val="28"/>
          <w:szCs w:val="28"/>
          <w:highlight w:val="white"/>
        </w:rPr>
        <w:t xml:space="preserve"> </w:t>
      </w:r>
    </w:p>
    <w:p>
      <w:pPr>
        <w:spacing w:line="500" w:lineRule="exact"/>
        <w:ind w:firstLine="594"/>
        <w:rPr>
          <w:rFonts w:hint="eastAsia" w:ascii="仿宋" w:hAnsi="仿宋" w:eastAsia="仿宋"/>
          <w:sz w:val="28"/>
          <w:szCs w:val="28"/>
          <w:highlight w:val="whit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等线">
    <w:altName w:val="Times New Roman"/>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新宋体">
    <w:panose1 w:val="02010609030101010101"/>
    <w:charset w:val="86"/>
    <w:family w:val="auto"/>
    <w:pitch w:val="default"/>
    <w:sig w:usb0="00000003" w:usb1="288F0000" w:usb2="00000006" w:usb3="00000000" w:csb0="00040001" w:csb1="00000000"/>
  </w:font>
  <w:font w:name="Vrinda">
    <w:panose1 w:val="020B0502040204020203"/>
    <w:charset w:val="00"/>
    <w:family w:val="auto"/>
    <w:pitch w:val="default"/>
    <w:sig w:usb0="00010003" w:usb1="00000000" w:usb2="00000000" w:usb3="00000000" w:csb0="00000001" w:csb1="00000000"/>
  </w:font>
  <w:font w:name="Vijaya">
    <w:panose1 w:val="020B0604020202020204"/>
    <w:charset w:val="00"/>
    <w:family w:val="auto"/>
    <w:pitch w:val="default"/>
    <w:sig w:usb0="001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Sylfaen">
    <w:panose1 w:val="010A0502050306030303"/>
    <w:charset w:val="00"/>
    <w:family w:val="auto"/>
    <w:pitch w:val="default"/>
    <w:sig w:usb0="04000687" w:usb1="00000000" w:usb2="00000000" w:usb3="00000000" w:csb0="2000009F" w:csb1="00000000"/>
  </w:font>
  <w:font w:name="Simplified Arabic Fixed">
    <w:panose1 w:val="02070309020205020404"/>
    <w:charset w:val="00"/>
    <w:family w:val="auto"/>
    <w:pitch w:val="default"/>
    <w:sig w:usb0="00002003" w:usb1="00000000" w:usb2="00000000" w:usb3="00000000" w:csb0="00000041" w:csb1="20080000"/>
  </w:font>
  <w:font w:name="Simplified Arabic">
    <w:panose1 w:val="02020603050405020304"/>
    <w:charset w:val="00"/>
    <w:family w:val="auto"/>
    <w:pitch w:val="default"/>
    <w:sig w:usb0="00002003" w:usb1="00000000" w:usb2="00000000" w:usb3="00000000" w:csb0="00000041" w:csb1="20080000"/>
  </w:font>
  <w:font w:name="方正小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73CAA"/>
    <w:multiLevelType w:val="multilevel"/>
    <w:tmpl w:val="0C973CAA"/>
    <w:lvl w:ilvl="0" w:tentative="0">
      <w:start w:val="7"/>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2F2B371F"/>
    <w:multiLevelType w:val="multilevel"/>
    <w:tmpl w:val="2F2B371F"/>
    <w:lvl w:ilvl="0" w:tentative="0">
      <w:start w:val="3"/>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80A10"/>
    <w:rsid w:val="000238AA"/>
    <w:rsid w:val="0003185E"/>
    <w:rsid w:val="00040545"/>
    <w:rsid w:val="00042BEF"/>
    <w:rsid w:val="00086423"/>
    <w:rsid w:val="000B6225"/>
    <w:rsid w:val="00153480"/>
    <w:rsid w:val="0019571F"/>
    <w:rsid w:val="001B4B26"/>
    <w:rsid w:val="001E6AE9"/>
    <w:rsid w:val="001F28E7"/>
    <w:rsid w:val="0021799E"/>
    <w:rsid w:val="00237D8A"/>
    <w:rsid w:val="00266559"/>
    <w:rsid w:val="00277705"/>
    <w:rsid w:val="002B20FC"/>
    <w:rsid w:val="003157E7"/>
    <w:rsid w:val="0035656E"/>
    <w:rsid w:val="00380A10"/>
    <w:rsid w:val="00460DF0"/>
    <w:rsid w:val="004D555F"/>
    <w:rsid w:val="005A2065"/>
    <w:rsid w:val="005A416D"/>
    <w:rsid w:val="005B5907"/>
    <w:rsid w:val="006329FA"/>
    <w:rsid w:val="00665F2E"/>
    <w:rsid w:val="007612F2"/>
    <w:rsid w:val="007C4AAB"/>
    <w:rsid w:val="008276BD"/>
    <w:rsid w:val="00867403"/>
    <w:rsid w:val="008833B3"/>
    <w:rsid w:val="008C49D7"/>
    <w:rsid w:val="008D7334"/>
    <w:rsid w:val="008F46D3"/>
    <w:rsid w:val="00901BCA"/>
    <w:rsid w:val="009136F4"/>
    <w:rsid w:val="00973861"/>
    <w:rsid w:val="009850D9"/>
    <w:rsid w:val="009B1C6A"/>
    <w:rsid w:val="00AB52CA"/>
    <w:rsid w:val="00AC6F87"/>
    <w:rsid w:val="00AF5E1D"/>
    <w:rsid w:val="00B73740"/>
    <w:rsid w:val="00B93E04"/>
    <w:rsid w:val="00BE540A"/>
    <w:rsid w:val="00BF2AD4"/>
    <w:rsid w:val="00C16F57"/>
    <w:rsid w:val="00C46525"/>
    <w:rsid w:val="00C84B93"/>
    <w:rsid w:val="00C951BD"/>
    <w:rsid w:val="00D069C0"/>
    <w:rsid w:val="00D52B0E"/>
    <w:rsid w:val="00D77C11"/>
    <w:rsid w:val="00DB705B"/>
    <w:rsid w:val="00DC759F"/>
    <w:rsid w:val="00DC7D9B"/>
    <w:rsid w:val="00E11EB2"/>
    <w:rsid w:val="00E54439"/>
    <w:rsid w:val="00E75054"/>
    <w:rsid w:val="00F337B3"/>
    <w:rsid w:val="00F34293"/>
    <w:rsid w:val="00F72ED5"/>
    <w:rsid w:val="00F97E09"/>
    <w:rsid w:val="00FA316B"/>
    <w:rsid w:val="01D81679"/>
    <w:rsid w:val="1E4E2469"/>
    <w:rsid w:val="2436689D"/>
    <w:rsid w:val="27D70BC0"/>
    <w:rsid w:val="2EEC146E"/>
    <w:rsid w:val="343B1DE5"/>
    <w:rsid w:val="54C95D0D"/>
    <w:rsid w:val="6F3B3E33"/>
    <w:rsid w:val="71C645C1"/>
    <w:rsid w:val="7B6F7A76"/>
    <w:rsid w:val="7C096D5E"/>
    <w:rsid w:val="7CF60B77"/>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kern w:val="2"/>
      <w:sz w:val="21"/>
      <w:szCs w:val="21"/>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customStyle="1" w:styleId="2">
    <w:name w:val="Default"/>
    <w:basedOn w:val="1"/>
    <w:semiHidden/>
    <w:qFormat/>
    <w:uiPriority w:val="0"/>
    <w:pPr>
      <w:widowControl w:val="0"/>
      <w:autoSpaceDE w:val="0"/>
      <w:autoSpaceDN w:val="0"/>
      <w:adjustRightInd w:val="0"/>
      <w:jc w:val="left"/>
    </w:pPr>
    <w:rPr>
      <w:rFonts w:ascii="仿宋_GB2312" w:hAnsi="仿宋_GB2312" w:cs="宋体"/>
      <w:color w:val="000000"/>
      <w:kern w:val="0"/>
      <w:sz w:val="24"/>
      <w:szCs w:val="24"/>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rFonts w:ascii="Times New Roman" w:hAnsi="Times New Roman" w:eastAsia="宋体" w:cs="Times New Roman"/>
      <w:sz w:val="18"/>
      <w:szCs w:val="18"/>
    </w:rPr>
  </w:style>
  <w:style w:type="character" w:customStyle="1" w:styleId="8">
    <w:name w:val="页脚 Char"/>
    <w:basedOn w:val="5"/>
    <w:link w:val="3"/>
    <w:qFormat/>
    <w:uiPriority w:val="99"/>
    <w:rPr>
      <w:rFonts w:ascii="Times New Roman" w:hAnsi="Times New Roman" w:eastAsia="宋体" w:cs="Times New Roman"/>
      <w:sz w:val="18"/>
      <w:szCs w:val="18"/>
    </w:rPr>
  </w:style>
  <w:style w:type="character" w:customStyle="1" w:styleId="9">
    <w:name w:val="font91"/>
    <w:basedOn w:val="5"/>
    <w:qFormat/>
    <w:uiPriority w:val="0"/>
    <w:rPr>
      <w:rFonts w:ascii="仿宋_GB2312" w:eastAsia="仿宋_GB2312" w:cs="仿宋_GB2312"/>
      <w:color w:val="000000"/>
      <w:sz w:val="20"/>
      <w:szCs w:val="20"/>
      <w:u w:val="none"/>
    </w:rPr>
  </w:style>
  <w:style w:type="character" w:customStyle="1" w:styleId="10">
    <w:name w:val="font51"/>
    <w:basedOn w:val="5"/>
    <w:qFormat/>
    <w:uiPriority w:val="0"/>
    <w:rPr>
      <w:rFonts w:hint="default" w:ascii="Times New Roman" w:hAnsi="Times New Roman" w:cs="Times New Roman"/>
      <w:color w:val="000000"/>
      <w:sz w:val="20"/>
      <w:szCs w:val="20"/>
      <w:u w:val="none"/>
    </w:rPr>
  </w:style>
  <w:style w:type="character" w:customStyle="1" w:styleId="11">
    <w:name w:val="font61"/>
    <w:basedOn w:val="5"/>
    <w:qFormat/>
    <w:uiPriority w:val="0"/>
    <w:rPr>
      <w:rFonts w:hint="eastAsia" w:ascii="宋体" w:hAnsi="宋体" w:eastAsia="宋体" w:cs="宋体"/>
      <w:color w:val="000000"/>
      <w:sz w:val="18"/>
      <w:szCs w:val="18"/>
      <w:u w:val="none"/>
    </w:rPr>
  </w:style>
  <w:style w:type="character" w:customStyle="1" w:styleId="12">
    <w:name w:val="font71"/>
    <w:basedOn w:val="5"/>
    <w:qFormat/>
    <w:uiPriority w:val="0"/>
    <w:rPr>
      <w:rFonts w:hint="default" w:ascii="Times New Roman" w:hAnsi="Times New Roman" w:cs="Times New Roman"/>
      <w:color w:val="000000"/>
      <w:sz w:val="18"/>
      <w:szCs w:val="18"/>
      <w:u w:val="none"/>
    </w:rPr>
  </w:style>
  <w:style w:type="character" w:customStyle="1" w:styleId="13">
    <w:name w:val="font111"/>
    <w:basedOn w:val="5"/>
    <w:qFormat/>
    <w:uiPriority w:val="0"/>
    <w:rPr>
      <w:rFonts w:hint="eastAsia" w:ascii="宋体" w:hAnsi="宋体" w:eastAsia="宋体" w:cs="宋体"/>
      <w:color w:val="000000"/>
      <w:sz w:val="18"/>
      <w:szCs w:val="18"/>
      <w:u w:val="none"/>
    </w:rPr>
  </w:style>
  <w:style w:type="character" w:customStyle="1" w:styleId="14">
    <w:name w:val="font101"/>
    <w:basedOn w:val="5"/>
    <w:qFormat/>
    <w:uiPriority w:val="0"/>
    <w:rPr>
      <w:rFonts w:hint="default" w:ascii="Times New Roman" w:hAnsi="Times New Roman" w:cs="Times New Roman"/>
      <w:color w:val="000000"/>
      <w:sz w:val="18"/>
      <w:szCs w:val="18"/>
      <w:u w:val="none"/>
    </w:rPr>
  </w:style>
  <w:style w:type="character" w:customStyle="1" w:styleId="15">
    <w:name w:val="font121"/>
    <w:basedOn w:val="5"/>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1489</Words>
  <Characters>8488</Characters>
  <Lines>70</Lines>
  <Paragraphs>19</Paragraphs>
  <ScaleCrop>false</ScaleCrop>
  <LinksUpToDate>false</LinksUpToDate>
  <CharactersWithSpaces>9958</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2022-09-23T02:09:00Z</dcterms:created>
  <dc:creator>Administrator</dc:creator>
  <cp:lastModifiedBy>Administrator</cp:lastModifiedBy>
  <dcterms:modified xsi:type="dcterms:W3CDTF">2022-09-26T03:07:25Z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