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方正小标宋简体" w:hAnsi="Times New Roman" w:eastAsia="方正小标宋简体"/>
          <w:bCs/>
          <w:sz w:val="52"/>
          <w:szCs w:val="52"/>
        </w:rPr>
      </w:pPr>
    </w:p>
    <w:p>
      <w:pPr>
        <w:pStyle w:val="2"/>
        <w:jc w:val="center"/>
        <w:rPr>
          <w:rFonts w:hint="default" w:ascii="方正小标宋简体" w:hAnsi="Times New Roman" w:eastAsia="方正小标宋简体"/>
          <w:bCs/>
          <w:sz w:val="52"/>
          <w:szCs w:val="52"/>
        </w:rPr>
      </w:pPr>
    </w:p>
    <w:p>
      <w:pPr>
        <w:pStyle w:val="2"/>
        <w:spacing w:line="800" w:lineRule="exact"/>
        <w:jc w:val="center"/>
        <w:rPr>
          <w:rFonts w:hint="default" w:ascii="方正小标宋简体" w:hAnsi="Times New Roman" w:eastAsia="方正小标宋简体"/>
          <w:bCs/>
          <w:sz w:val="60"/>
          <w:szCs w:val="60"/>
        </w:rPr>
      </w:pPr>
      <w:r>
        <w:rPr>
          <w:rFonts w:ascii="方正小标宋简体" w:hAnsi="Times New Roman" w:eastAsia="方正小标宋简体"/>
          <w:bCs/>
          <w:sz w:val="60"/>
          <w:szCs w:val="60"/>
        </w:rPr>
        <w:t>兰溪市2019年决算</w:t>
      </w:r>
      <w:r>
        <w:rPr>
          <w:rFonts w:hint="default" w:ascii="方正小标宋简体" w:hAnsi="Times New Roman" w:eastAsia="方正小标宋简体"/>
          <w:bCs/>
          <w:sz w:val="60"/>
          <w:szCs w:val="60"/>
        </w:rPr>
        <w:t>草案和</w:t>
      </w:r>
    </w:p>
    <w:p>
      <w:pPr>
        <w:pStyle w:val="2"/>
        <w:spacing w:line="800" w:lineRule="exact"/>
        <w:jc w:val="center"/>
        <w:rPr>
          <w:rFonts w:hint="default" w:ascii="方正小标宋简体" w:hAnsi="Times New Roman" w:eastAsia="方正小标宋简体"/>
          <w:bCs/>
          <w:sz w:val="60"/>
          <w:szCs w:val="60"/>
        </w:rPr>
      </w:pPr>
      <w:r>
        <w:rPr>
          <w:rFonts w:ascii="方正小标宋简体" w:hAnsi="Times New Roman" w:eastAsia="方正小标宋简体"/>
          <w:bCs/>
          <w:sz w:val="60"/>
          <w:szCs w:val="60"/>
        </w:rPr>
        <w:t>2020年1—6月</w:t>
      </w:r>
      <w:r>
        <w:rPr>
          <w:rFonts w:hint="default" w:ascii="方正小标宋简体" w:hAnsi="Times New Roman" w:eastAsia="方正小标宋简体"/>
          <w:bCs/>
          <w:sz w:val="60"/>
          <w:szCs w:val="60"/>
        </w:rPr>
        <w:t>执行情况</w:t>
      </w:r>
      <w:r>
        <w:rPr>
          <w:rFonts w:ascii="方正小标宋简体" w:hAnsi="Times New Roman" w:eastAsia="方正小标宋简体"/>
          <w:bCs/>
          <w:sz w:val="60"/>
          <w:szCs w:val="60"/>
        </w:rPr>
        <w:t>附表</w:t>
      </w:r>
    </w:p>
    <w:p>
      <w:pPr>
        <w:pStyle w:val="2"/>
        <w:jc w:val="center"/>
        <w:rPr>
          <w:rFonts w:hint="default" w:ascii="方正小标宋简体" w:hAnsi="Times New Roman" w:eastAsia="方正小标宋简体"/>
          <w:bCs/>
          <w:sz w:val="56"/>
          <w:szCs w:val="56"/>
        </w:rPr>
      </w:pPr>
    </w:p>
    <w:p>
      <w:pPr>
        <w:pStyle w:val="2"/>
        <w:jc w:val="center"/>
        <w:rPr>
          <w:rFonts w:hint="default" w:ascii="方正小标宋简体" w:hAnsi="Times New Roman" w:eastAsia="方正小标宋简体"/>
          <w:bCs/>
          <w:sz w:val="56"/>
          <w:szCs w:val="56"/>
        </w:rPr>
      </w:pPr>
    </w:p>
    <w:p>
      <w:pPr>
        <w:pStyle w:val="2"/>
        <w:jc w:val="center"/>
        <w:rPr>
          <w:rFonts w:hint="default" w:ascii="方正小标宋简体" w:hAnsi="Times New Roman" w:eastAsia="方正小标宋简体"/>
          <w:bCs/>
          <w:sz w:val="56"/>
          <w:szCs w:val="56"/>
        </w:rPr>
      </w:pPr>
    </w:p>
    <w:p>
      <w:pPr>
        <w:pStyle w:val="2"/>
        <w:jc w:val="center"/>
        <w:rPr>
          <w:rFonts w:hint="default" w:ascii="方正小标宋简体" w:hAnsi="Times New Roman" w:eastAsia="方正小标宋简体"/>
          <w:bCs/>
          <w:sz w:val="56"/>
          <w:szCs w:val="56"/>
        </w:rPr>
      </w:pPr>
    </w:p>
    <w:p>
      <w:pPr>
        <w:pStyle w:val="2"/>
        <w:jc w:val="center"/>
        <w:rPr>
          <w:rFonts w:hint="default" w:ascii="方正小标宋简体" w:hAnsi="Times New Roman" w:eastAsia="方正小标宋简体"/>
          <w:bCs/>
          <w:sz w:val="56"/>
          <w:szCs w:val="56"/>
        </w:rPr>
      </w:pPr>
    </w:p>
    <w:p>
      <w:pPr>
        <w:pStyle w:val="2"/>
        <w:jc w:val="center"/>
        <w:rPr>
          <w:rFonts w:hint="default" w:ascii="方正小标宋简体" w:hAnsi="Times New Roman" w:eastAsia="方正小标宋简体"/>
          <w:bCs/>
          <w:sz w:val="56"/>
          <w:szCs w:val="56"/>
        </w:rPr>
      </w:pPr>
    </w:p>
    <w:p>
      <w:pPr>
        <w:pStyle w:val="2"/>
        <w:jc w:val="center"/>
        <w:rPr>
          <w:rFonts w:hint="default" w:ascii="方正小标宋简体" w:hAnsi="Times New Roman" w:eastAsia="方正小标宋简体"/>
          <w:bCs/>
          <w:sz w:val="56"/>
          <w:szCs w:val="56"/>
        </w:rPr>
      </w:pPr>
    </w:p>
    <w:p>
      <w:pPr>
        <w:pStyle w:val="2"/>
        <w:jc w:val="center"/>
        <w:rPr>
          <w:rFonts w:hint="default" w:ascii="方正小标宋简体" w:hAnsi="Times New Roman" w:eastAsia="方正小标宋简体"/>
          <w:bCs/>
          <w:sz w:val="56"/>
          <w:szCs w:val="56"/>
        </w:rPr>
      </w:pPr>
    </w:p>
    <w:p>
      <w:pPr>
        <w:pStyle w:val="2"/>
        <w:jc w:val="both"/>
        <w:rPr>
          <w:rFonts w:hint="default" w:ascii="方正小标宋简体" w:hAnsi="Times New Roman" w:eastAsia="方正小标宋简体"/>
          <w:bCs/>
          <w:sz w:val="56"/>
          <w:szCs w:val="56"/>
        </w:rPr>
      </w:pPr>
    </w:p>
    <w:p>
      <w:pPr>
        <w:pStyle w:val="2"/>
        <w:jc w:val="center"/>
        <w:rPr>
          <w:rFonts w:hint="default" w:ascii="黑体" w:hAnsi="黑体" w:eastAsia="黑体"/>
          <w:bCs/>
          <w:sz w:val="44"/>
          <w:szCs w:val="44"/>
        </w:rPr>
      </w:pPr>
      <w:r>
        <w:rPr>
          <w:rFonts w:ascii="黑体" w:hAnsi="黑体" w:eastAsia="黑体"/>
          <w:bCs/>
          <w:sz w:val="44"/>
          <w:szCs w:val="44"/>
        </w:rPr>
        <w:t>2020年8月</w:t>
      </w:r>
    </w:p>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pStyle w:val="2"/>
        <w:rPr>
          <w:rFonts w:hint="default"/>
        </w:rPr>
      </w:pPr>
    </w:p>
    <w:tbl>
      <w:tblPr>
        <w:tblStyle w:val="10"/>
        <w:tblW w:w="9621" w:type="dxa"/>
        <w:tblInd w:w="-242" w:type="dxa"/>
        <w:tblLayout w:type="fixed"/>
        <w:tblCellMar>
          <w:top w:w="0" w:type="dxa"/>
          <w:left w:w="108" w:type="dxa"/>
          <w:bottom w:w="0" w:type="dxa"/>
          <w:right w:w="108" w:type="dxa"/>
        </w:tblCellMar>
      </w:tblPr>
      <w:tblGrid>
        <w:gridCol w:w="8837"/>
        <w:gridCol w:w="784"/>
      </w:tblGrid>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1．表一：2019年一般公共预算收入决算表</w:t>
            </w:r>
            <w:r>
              <w:rPr>
                <w:rFonts w:hint="eastAsia" w:ascii="宋体" w:hAnsi="宋体" w:eastAsia="宋体" w:cs="Times New Roman"/>
                <w:sz w:val="32"/>
                <w:szCs w:val="32"/>
              </w:rPr>
              <w:t>……</w:t>
            </w:r>
            <w:r>
              <w:rPr>
                <w:rFonts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．表二（1）：2019年一般公共预算支出决算表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．表二（2）：2019年一般公共预算支出决算表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．表三：2019年一般公共预算基本支出决算表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27</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．表四：2019年一般债务限额与余额情况表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29</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．表五：2019年政府性基金收入决算表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．表六：2019年政府性基金支出决算表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8．表七：2019年专项债务限额与余额情况表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34</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．表八：2019年国有资本经营预算收支决算表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35</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0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．表九：2019年社会保险基金预算收入决算表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36</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42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．表十：2019年社会保险基金预算支出决算表</w:t>
            </w:r>
            <w:r>
              <w:rPr>
                <w:rFonts w:hint="eastAsia" w:ascii="宋体" w:hAnsi="宋体" w:eastAsia="宋体" w:cs="Times New Roman"/>
                <w:sz w:val="32"/>
                <w:szCs w:val="32"/>
              </w:rPr>
              <w:t>……………</w:t>
            </w:r>
          </w:p>
        </w:tc>
        <w:tc>
          <w:tcPr>
            <w:tcW w:w="784" w:type="dxa"/>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38</w:t>
            </w:r>
          </w:p>
        </w:tc>
      </w:tr>
      <w:tr>
        <w:tblPrEx>
          <w:tblLayout w:type="fixed"/>
          <w:tblCellMar>
            <w:top w:w="0" w:type="dxa"/>
            <w:left w:w="108" w:type="dxa"/>
            <w:bottom w:w="0" w:type="dxa"/>
            <w:right w:w="108" w:type="dxa"/>
          </w:tblCellMar>
        </w:tblPrEx>
        <w:trPr>
          <w:trHeight w:val="560" w:hRule="atLeast"/>
        </w:trPr>
        <w:tc>
          <w:tcPr>
            <w:tcW w:w="8837" w:type="dxa"/>
            <w:vAlign w:val="center"/>
          </w:tcPr>
          <w:p>
            <w:pPr>
              <w:numPr>
                <w:ilvl w:val="0"/>
                <w:numId w:val="1"/>
              </w:numPr>
              <w:spacing w:line="40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表十一：</w:t>
            </w:r>
            <w:r>
              <w:rPr>
                <w:rFonts w:hint="eastAsia" w:ascii="Times New Roman" w:hAnsi="Times New Roman" w:eastAsia="仿宋_GB2312" w:cs="Times New Roman"/>
                <w:sz w:val="32"/>
                <w:szCs w:val="32"/>
                <w:lang w:val="en-US" w:eastAsia="zh-CN"/>
              </w:rPr>
              <w:t>2019年</w:t>
            </w:r>
            <w:r>
              <w:rPr>
                <w:rFonts w:ascii="Times New Roman" w:hAnsi="Times New Roman" w:eastAsia="仿宋_GB2312" w:cs="Times New Roman"/>
                <w:sz w:val="32"/>
                <w:szCs w:val="32"/>
              </w:rPr>
              <w:t>社会保险基金收支结余表</w:t>
            </w:r>
            <w:r>
              <w:rPr>
                <w:rFonts w:hint="eastAsia" w:ascii="宋体" w:hAnsi="宋体" w:eastAsia="宋体" w:cs="Times New Roman"/>
                <w:sz w:val="32"/>
                <w:szCs w:val="32"/>
              </w:rPr>
              <w:t>………………</w:t>
            </w:r>
          </w:p>
        </w:tc>
        <w:tc>
          <w:tcPr>
            <w:tcW w:w="784" w:type="dxa"/>
            <w:vAlign w:val="center"/>
          </w:tcPr>
          <w:p>
            <w:pPr>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40</w:t>
            </w:r>
          </w:p>
        </w:tc>
      </w:tr>
      <w:tr>
        <w:tblPrEx>
          <w:tblLayout w:type="fixed"/>
          <w:tblCellMar>
            <w:top w:w="0" w:type="dxa"/>
            <w:left w:w="108" w:type="dxa"/>
            <w:bottom w:w="0" w:type="dxa"/>
            <w:right w:w="108" w:type="dxa"/>
          </w:tblCellMar>
        </w:tblPrEx>
        <w:trPr>
          <w:trHeight w:val="560" w:hRule="atLeast"/>
        </w:trPr>
        <w:tc>
          <w:tcPr>
            <w:tcW w:w="8837" w:type="dxa"/>
            <w:vAlign w:val="center"/>
          </w:tcPr>
          <w:p>
            <w:pPr>
              <w:spacing w:line="560" w:lineRule="exact"/>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ascii="Times New Roman" w:hAnsi="Times New Roman" w:eastAsia="仿宋_GB2312" w:cs="Times New Roman"/>
                <w:spacing w:val="-12"/>
                <w:sz w:val="32"/>
                <w:szCs w:val="32"/>
              </w:rPr>
              <w:t>2019年一般公共预算税收返还和转移支付决算表</w:t>
            </w:r>
            <w:r>
              <w:rPr>
                <w:rFonts w:hint="eastAsia" w:ascii="宋体" w:hAnsi="宋体" w:eastAsia="宋体" w:cs="Times New Roman"/>
                <w:sz w:val="32"/>
                <w:szCs w:val="32"/>
              </w:rPr>
              <w:t>…</w:t>
            </w:r>
          </w:p>
        </w:tc>
        <w:tc>
          <w:tcPr>
            <w:tcW w:w="784" w:type="dxa"/>
            <w:vAlign w:val="center"/>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41</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：2019年政府性基金转移支付决算表</w:t>
            </w:r>
            <w:r>
              <w:rPr>
                <w:rFonts w:hint="eastAsia" w:ascii="宋体" w:hAnsi="宋体" w:eastAsia="宋体" w:cs="Times New Roman"/>
                <w:sz w:val="32"/>
                <w:szCs w:val="32"/>
              </w:rPr>
              <w:t>……………</w:t>
            </w:r>
          </w:p>
        </w:tc>
        <w:tc>
          <w:tcPr>
            <w:tcW w:w="784" w:type="dxa"/>
            <w:vAlign w:val="center"/>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42</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：2019年兰溪市“三公”经费决算表</w:t>
            </w:r>
            <w:r>
              <w:rPr>
                <w:rFonts w:hint="eastAsia" w:ascii="宋体" w:hAnsi="宋体" w:eastAsia="宋体" w:cs="Times New Roman"/>
                <w:sz w:val="32"/>
                <w:szCs w:val="32"/>
              </w:rPr>
              <w:t>………………</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43</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：2020年1至6月一般公共预算收入执行情况表</w:t>
            </w:r>
            <w:r>
              <w:rPr>
                <w:rFonts w:hint="eastAsia" w:ascii="宋体" w:hAnsi="宋体" w:eastAsia="宋体" w:cs="Times New Roman"/>
                <w:sz w:val="32"/>
                <w:szCs w:val="32"/>
              </w:rPr>
              <w:t>…</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44</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：2020年1至6月一般公共预算支出执行情况表</w:t>
            </w:r>
            <w:r>
              <w:rPr>
                <w:rFonts w:hint="eastAsia" w:ascii="宋体" w:hAnsi="宋体" w:eastAsia="宋体" w:cs="Times New Roman"/>
                <w:sz w:val="32"/>
                <w:szCs w:val="32"/>
              </w:rPr>
              <w:t>…</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46</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w:t>
            </w:r>
            <w:r>
              <w:rPr>
                <w:rFonts w:ascii="Times New Roman" w:hAnsi="Times New Roman" w:eastAsia="仿宋_GB2312" w:cs="Times New Roman"/>
                <w:spacing w:val="-6"/>
                <w:sz w:val="32"/>
                <w:szCs w:val="32"/>
              </w:rPr>
              <w:t>2020年1至6月政府性基金收入预算执行情况表</w:t>
            </w:r>
            <w:r>
              <w:rPr>
                <w:rFonts w:hint="eastAsia" w:ascii="宋体" w:hAnsi="宋体" w:eastAsia="宋体" w:cs="Times New Roman"/>
                <w:sz w:val="32"/>
                <w:szCs w:val="32"/>
              </w:rPr>
              <w:t>…</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73</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：2020年1至6月政府性基金支出预算执行情况</w:t>
            </w:r>
            <w:r>
              <w:rPr>
                <w:rFonts w:hint="eastAsia" w:ascii="宋体" w:hAnsi="宋体" w:eastAsia="宋体" w:cs="Times New Roman"/>
                <w:sz w:val="32"/>
                <w:szCs w:val="32"/>
              </w:rPr>
              <w:t>…</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74</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．表十</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w:t>
            </w:r>
            <w:r>
              <w:rPr>
                <w:rFonts w:ascii="Times New Roman" w:hAnsi="Times New Roman" w:eastAsia="仿宋_GB2312" w:cs="Times New Roman"/>
                <w:spacing w:val="-6"/>
                <w:sz w:val="32"/>
                <w:szCs w:val="32"/>
              </w:rPr>
              <w:t>2020年1至6月国有资本经营预算收支执行情况表</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77</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．表</w:t>
            </w:r>
            <w:r>
              <w:rPr>
                <w:rFonts w:hint="eastAsia" w:ascii="Times New Roman" w:hAnsi="Times New Roman" w:eastAsia="仿宋_GB2312" w:cs="Times New Roman"/>
                <w:sz w:val="32"/>
                <w:szCs w:val="32"/>
              </w:rPr>
              <w:t>二十</w:t>
            </w:r>
            <w:r>
              <w:rPr>
                <w:rFonts w:ascii="Times New Roman" w:hAnsi="Times New Roman" w:eastAsia="仿宋_GB2312" w:cs="Times New Roman"/>
                <w:sz w:val="32"/>
                <w:szCs w:val="32"/>
              </w:rPr>
              <w:t>：2020年1至6月社会保险基金预算收入执行情况</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78</w:t>
            </w:r>
          </w:p>
        </w:tc>
      </w:tr>
      <w:tr>
        <w:tblPrEx>
          <w:tblLayout w:type="fixed"/>
          <w:tblCellMar>
            <w:top w:w="0" w:type="dxa"/>
            <w:left w:w="108" w:type="dxa"/>
            <w:bottom w:w="0" w:type="dxa"/>
            <w:right w:w="108" w:type="dxa"/>
          </w:tblCellMar>
        </w:tblPrEx>
        <w:tc>
          <w:tcPr>
            <w:tcW w:w="8837" w:type="dxa"/>
          </w:tcPr>
          <w:p>
            <w:pPr>
              <w:spacing w:line="560" w:lineRule="exact"/>
              <w:jc w:val="distribute"/>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．表二十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ascii="Times New Roman" w:hAnsi="Times New Roman" w:eastAsia="仿宋_GB2312" w:cs="Times New Roman"/>
                <w:spacing w:val="-10"/>
                <w:sz w:val="32"/>
                <w:szCs w:val="32"/>
              </w:rPr>
              <w:t>2020年1至6月社会保险基金预算支出执行情况</w:t>
            </w:r>
          </w:p>
        </w:tc>
        <w:tc>
          <w:tcPr>
            <w:tcW w:w="784"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80</w:t>
            </w:r>
          </w:p>
        </w:tc>
      </w:tr>
    </w:tbl>
    <w:p>
      <w:pPr>
        <w:jc w:val="center"/>
        <w:rPr>
          <w:rFonts w:ascii="Times New Roman" w:hAnsi="Times New Roman" w:eastAsia="方正小标宋简体" w:cs="Times New Roman"/>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sectPr>
          <w:footerReference r:id="rId3" w:type="default"/>
          <w:pgSz w:w="11906" w:h="16838"/>
          <w:pgMar w:top="1701" w:right="1418" w:bottom="1418" w:left="1418" w:header="851" w:footer="992" w:gutter="0"/>
          <w:cols w:space="425" w:num="1"/>
          <w:docGrid w:type="lines" w:linePitch="312" w:charSpace="0"/>
        </w:sect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2019年一般公共预算收入决算表</w:t>
      </w:r>
    </w:p>
    <w:p>
      <w:pPr>
        <w:spacing w:after="156" w:afterLines="50" w:line="400" w:lineRule="exact"/>
        <w:rPr>
          <w:sz w:val="24"/>
          <w:szCs w:val="24"/>
        </w:rPr>
      </w:pPr>
      <w:r>
        <w:rPr>
          <w:rFonts w:hint="eastAsia" w:ascii="楷体_GB2312" w:hAnsi="宋体" w:eastAsia="楷体_GB2312" w:cs="宋体"/>
          <w:kern w:val="0"/>
          <w:sz w:val="24"/>
          <w:szCs w:val="24"/>
        </w:rPr>
        <w:t xml:space="preserve">表一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6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41"/>
        <w:gridCol w:w="1023"/>
        <w:gridCol w:w="1023"/>
        <w:gridCol w:w="1024"/>
        <w:gridCol w:w="1023"/>
        <w:gridCol w:w="1023"/>
        <w:gridCol w:w="10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3541" w:type="dxa"/>
            <w:shd w:val="clear" w:color="auto" w:fill="auto"/>
            <w:noWrap/>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 xml:space="preserve">项 </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目</w:t>
            </w:r>
          </w:p>
        </w:tc>
        <w:tc>
          <w:tcPr>
            <w:tcW w:w="1023"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年决算数</w:t>
            </w:r>
          </w:p>
        </w:tc>
        <w:tc>
          <w:tcPr>
            <w:tcW w:w="1023"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2019年预算数</w:t>
            </w:r>
          </w:p>
        </w:tc>
        <w:tc>
          <w:tcPr>
            <w:tcW w:w="1024"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年调整预算数</w:t>
            </w:r>
          </w:p>
        </w:tc>
        <w:tc>
          <w:tcPr>
            <w:tcW w:w="1023" w:type="dxa"/>
            <w:shd w:val="clear" w:color="auto" w:fill="auto"/>
            <w:vAlign w:val="center"/>
          </w:tcPr>
          <w:p>
            <w:pPr>
              <w:widowControl/>
              <w:spacing w:line="300" w:lineRule="exact"/>
              <w:jc w:val="center"/>
              <w:textAlignment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为调整预算</w:t>
            </w:r>
            <w:r>
              <w:rPr>
                <w:rFonts w:ascii="黑体" w:hAnsi="黑体" w:eastAsia="黑体" w:cs="Times New Roman"/>
                <w:color w:val="000000"/>
                <w:kern w:val="0"/>
                <w:sz w:val="24"/>
                <w:szCs w:val="24"/>
              </w:rPr>
              <w:t>%</w:t>
            </w:r>
          </w:p>
        </w:tc>
        <w:tc>
          <w:tcPr>
            <w:tcW w:w="1023"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2018</w:t>
            </w:r>
            <w:r>
              <w:rPr>
                <w:rFonts w:hint="eastAsia" w:ascii="黑体" w:hAnsi="黑体" w:eastAsia="黑体" w:cs="Times New Roman"/>
                <w:color w:val="000000"/>
                <w:kern w:val="0"/>
                <w:sz w:val="24"/>
                <w:szCs w:val="24"/>
              </w:rPr>
              <w:t>年决算数</w:t>
            </w:r>
          </w:p>
        </w:tc>
        <w:tc>
          <w:tcPr>
            <w:tcW w:w="1024" w:type="dxa"/>
            <w:shd w:val="clear" w:color="auto" w:fill="auto"/>
            <w:vAlign w:val="center"/>
          </w:tcPr>
          <w:p>
            <w:pPr>
              <w:widowControl/>
              <w:spacing w:line="300" w:lineRule="exact"/>
              <w:jc w:val="center"/>
              <w:textAlignment w:val="center"/>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比上年</w:t>
            </w:r>
            <w:r>
              <w:rPr>
                <w:rFonts w:ascii="黑体" w:hAnsi="黑体" w:eastAsia="黑体" w:cs="Times New Roman"/>
                <w:color w:val="000000"/>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282838</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292600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282838</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w:t>
            </w:r>
            <w:r>
              <w:rPr>
                <w:rFonts w:ascii="Times New Roman" w:hAnsi="Times New Roman" w:eastAsia="宋体" w:cs="Times New Roman"/>
                <w:color w:val="000000"/>
                <w:kern w:val="0"/>
                <w:sz w:val="24"/>
                <w:szCs w:val="24"/>
              </w:rPr>
              <w:t>税收收入小计</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239268</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251250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239833</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99.8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227872</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增值税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122434</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135175</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125687</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97.4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118074</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宋体" w:hAnsi="宋体" w:eastAsia="宋体" w:cs="Times New Roman"/>
                <w:color w:val="000000"/>
                <w:kern w:val="0"/>
                <w:sz w:val="24"/>
                <w:szCs w:val="24"/>
              </w:rPr>
              <w:t>企业所得税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29921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29225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102.4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24841</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hint="eastAsia" w:ascii="宋体" w:hAnsi="宋体" w:eastAsia="宋体" w:cs="Times New Roman"/>
                <w:color w:val="000000"/>
                <w:kern w:val="0"/>
                <w:sz w:val="24"/>
                <w:szCs w:val="24"/>
              </w:rPr>
              <w:t>个人所得税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12830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12355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103.8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16737</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r>
              <w:rPr>
                <w:rFonts w:hint="eastAsia" w:ascii="宋体" w:hAnsi="宋体" w:eastAsia="宋体" w:cs="Times New Roman"/>
                <w:color w:val="000000"/>
                <w:kern w:val="0"/>
                <w:sz w:val="24"/>
                <w:szCs w:val="24"/>
              </w:rPr>
              <w:t>资源税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1206</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84.7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hint="eastAsia" w:ascii="宋体" w:hAnsi="宋体" w:eastAsia="宋体" w:cs="Times New Roman"/>
                <w:color w:val="000000"/>
                <w:kern w:val="0"/>
                <w:sz w:val="24"/>
                <w:szCs w:val="24"/>
              </w:rPr>
              <w:t>城市维护建设税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19102</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17987</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106.2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19467</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r>
              <w:rPr>
                <w:rFonts w:hint="eastAsia" w:ascii="宋体" w:hAnsi="宋体" w:eastAsia="宋体" w:cs="Times New Roman"/>
                <w:color w:val="000000"/>
                <w:kern w:val="0"/>
                <w:sz w:val="24"/>
                <w:szCs w:val="24"/>
              </w:rPr>
              <w:t>房产税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11746</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10540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6215</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r>
              <w:rPr>
                <w:rFonts w:hint="eastAsia" w:ascii="宋体" w:hAnsi="宋体" w:eastAsia="宋体" w:cs="Times New Roman"/>
                <w:color w:val="000000"/>
                <w:kern w:val="0"/>
                <w:sz w:val="24"/>
                <w:szCs w:val="24"/>
              </w:rPr>
              <w:t>印花税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3313</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3336</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99.3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3584</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r>
              <w:rPr>
                <w:rFonts w:hint="eastAsia" w:ascii="宋体" w:hAnsi="宋体" w:eastAsia="宋体" w:cs="Times New Roman"/>
                <w:color w:val="000000"/>
                <w:kern w:val="0"/>
                <w:sz w:val="24"/>
                <w:szCs w:val="24"/>
              </w:rPr>
              <w:t>城镇土地使用税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12694</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10232</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124.1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5077</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r>
              <w:rPr>
                <w:rFonts w:hint="eastAsia" w:ascii="宋体" w:hAnsi="宋体" w:eastAsia="宋体" w:cs="Times New Roman"/>
                <w:color w:val="000000"/>
                <w:kern w:val="0"/>
                <w:sz w:val="24"/>
                <w:szCs w:val="24"/>
              </w:rPr>
              <w:t>土地增值税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8445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104.9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9809</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r>
              <w:rPr>
                <w:rFonts w:hint="eastAsia" w:ascii="宋体" w:hAnsi="宋体" w:eastAsia="宋体" w:cs="Times New Roman"/>
                <w:color w:val="000000"/>
                <w:kern w:val="0"/>
                <w:sz w:val="24"/>
                <w:szCs w:val="24"/>
              </w:rPr>
              <w:t>车船税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2534</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102.6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2695</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r>
              <w:rPr>
                <w:rFonts w:hint="eastAsia" w:ascii="宋体" w:hAnsi="宋体" w:eastAsia="宋体" w:cs="Times New Roman"/>
                <w:color w:val="000000"/>
                <w:kern w:val="0"/>
                <w:sz w:val="24"/>
                <w:szCs w:val="24"/>
              </w:rPr>
              <w:t>耕地占用税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3831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63.2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3666</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r>
              <w:rPr>
                <w:rFonts w:hint="eastAsia" w:ascii="宋体" w:hAnsi="宋体" w:eastAsia="宋体" w:cs="Times New Roman"/>
                <w:color w:val="000000"/>
                <w:kern w:val="0"/>
                <w:sz w:val="24"/>
                <w:szCs w:val="24"/>
              </w:rPr>
              <w:t>契税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12035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14060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85.6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16538</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r>
              <w:rPr>
                <w:rFonts w:hint="eastAsia" w:ascii="宋体" w:hAnsi="宋体" w:eastAsia="宋体" w:cs="Times New Roman"/>
                <w:color w:val="000000"/>
                <w:kern w:val="0"/>
                <w:sz w:val="24"/>
                <w:szCs w:val="24"/>
              </w:rPr>
              <w:t>环境保护税</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89.4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459</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r>
              <w:rPr>
                <w:rFonts w:hint="eastAsia" w:ascii="宋体" w:hAnsi="宋体" w:eastAsia="宋体" w:cs="Times New Roman"/>
                <w:color w:val="000000"/>
                <w:kern w:val="0"/>
                <w:sz w:val="24"/>
                <w:szCs w:val="24"/>
              </w:rPr>
              <w:t>其他税收收入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ascii="Times New Roman" w:hAnsi="Times New Roman" w:eastAsia="宋体" w:cs="Times New Roman"/>
                <w:color w:val="000000"/>
                <w:kern w:val="0"/>
                <w:sz w:val="24"/>
                <w:szCs w:val="24"/>
              </w:rPr>
              <w:t>非税收入小计</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43570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41350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43005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101.3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38128</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专项收入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16748</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16638</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100.7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23996</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其中：教育费附加收入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7921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8152</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97.2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8056</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ind w:firstLine="960" w:firstLineChars="400"/>
              <w:textAlignment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地方教育附加收入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5281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5726</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5434</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97.2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5373</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ind w:firstLine="952" w:firstLineChars="425"/>
              <w:textAlignment w:val="center"/>
              <w:rPr>
                <w:rFonts w:ascii="Times New Roman" w:hAnsi="Times New Roman" w:eastAsia="宋体" w:cs="宋体"/>
                <w:color w:val="000000"/>
                <w:spacing w:val="-8"/>
                <w:kern w:val="0"/>
                <w:sz w:val="24"/>
                <w:szCs w:val="24"/>
              </w:rPr>
            </w:pPr>
            <w:r>
              <w:rPr>
                <w:rFonts w:hint="eastAsia" w:ascii="宋体" w:hAnsi="宋体" w:eastAsia="宋体" w:cs="宋体"/>
                <w:color w:val="000000"/>
                <w:spacing w:val="-8"/>
                <w:kern w:val="0"/>
                <w:sz w:val="24"/>
                <w:szCs w:val="24"/>
              </w:rPr>
              <w:t>残疾人就业保障金收入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1224</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1052</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118.9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ind w:firstLine="960" w:firstLineChars="400"/>
              <w:textAlignment w:val="center"/>
              <w:rPr>
                <w:rFonts w:ascii="Times New Roman" w:hAnsi="Times New Roman" w:eastAsia="宋体" w:cs="Times New Roman"/>
                <w:color w:val="000000"/>
                <w:kern w:val="0"/>
                <w:sz w:val="24"/>
                <w:szCs w:val="24"/>
              </w:rPr>
            </w:pPr>
            <w:r>
              <w:rPr>
                <w:rFonts w:hint="eastAsia" w:ascii="宋体" w:hAnsi="宋体" w:eastAsia="宋体" w:cs="Times New Roman"/>
                <w:color w:val="000000"/>
                <w:kern w:val="0"/>
                <w:sz w:val="24"/>
                <w:szCs w:val="24"/>
              </w:rPr>
              <w:t>教育资金收入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4545</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宋体"/>
                <w:color w:val="000000"/>
                <w:spacing w:val="-16"/>
                <w:w w:val="95"/>
                <w:kern w:val="0"/>
                <w:sz w:val="24"/>
                <w:szCs w:val="24"/>
              </w:rPr>
            </w:pP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spacing w:val="-16"/>
                <w:w w:val="95"/>
                <w:kern w:val="0"/>
                <w:sz w:val="24"/>
                <w:szCs w:val="24"/>
              </w:rPr>
              <w:t>农田水利建设资金收入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2909</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宋体" w:hAnsi="宋体" w:eastAsia="宋体" w:cs="Times New Roman"/>
                <w:color w:val="000000"/>
                <w:kern w:val="0"/>
                <w:sz w:val="24"/>
                <w:szCs w:val="24"/>
              </w:rPr>
              <w:t>森林植被恢复费</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114.6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1908</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宋体" w:hAnsi="宋体" w:eastAsia="宋体" w:cs="Times New Roman"/>
                <w:color w:val="000000"/>
                <w:kern w:val="0"/>
                <w:sz w:val="24"/>
                <w:szCs w:val="24"/>
              </w:rPr>
              <w:t>水利建设专项收入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宋体" w:hAnsi="宋体" w:eastAsia="宋体" w:cs="Times New Roman"/>
                <w:color w:val="000000"/>
                <w:kern w:val="0"/>
                <w:sz w:val="24"/>
                <w:szCs w:val="24"/>
              </w:rPr>
              <w:t>行政事业性收费收入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72.0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3267</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r>
              <w:rPr>
                <w:rFonts w:hint="eastAsia" w:ascii="宋体" w:hAnsi="宋体" w:eastAsia="宋体" w:cs="Times New Roman"/>
                <w:color w:val="000000"/>
                <w:kern w:val="0"/>
                <w:sz w:val="24"/>
                <w:szCs w:val="24"/>
              </w:rPr>
              <w:t>罚没收入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18287</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14230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16747</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109.2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9467</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r>
              <w:rPr>
                <w:rFonts w:hint="eastAsia" w:ascii="宋体" w:hAnsi="宋体" w:eastAsia="宋体" w:cs="Times New Roman"/>
                <w:color w:val="000000"/>
                <w:kern w:val="0"/>
                <w:sz w:val="24"/>
                <w:szCs w:val="24"/>
              </w:rPr>
              <w:t>国有资本经营收入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其中：国有企业计划亏损</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r>
              <w:rPr>
                <w:rFonts w:hint="eastAsia" w:ascii="宋体" w:hAnsi="宋体" w:eastAsia="宋体" w:cs="宋体"/>
                <w:color w:val="000000"/>
                <w:spacing w:val="-8"/>
                <w:kern w:val="0"/>
                <w:sz w:val="24"/>
                <w:szCs w:val="24"/>
              </w:rPr>
              <w:t>国有资源（资产）有偿使用收入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10032</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5883</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r>
              <w:rPr>
                <w:rFonts w:hint="eastAsia" w:ascii="宋体" w:hAnsi="宋体" w:eastAsia="宋体" w:cs="Times New Roman"/>
                <w:color w:val="000000"/>
                <w:kern w:val="0"/>
                <w:sz w:val="24"/>
                <w:szCs w:val="24"/>
              </w:rPr>
              <w:t>政府住房基金收入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1202</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100.2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1095</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二、转移性收入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428613</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420696</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373666</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（一）上级税收返还收入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13183</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13183</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（二）上级转移支付收入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212754</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214800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226217</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1.专项转移支付收入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57408</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75300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85650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2.一般性转移支付收入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155346</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139500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140567</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w:t>
            </w:r>
            <w:r>
              <w:rPr>
                <w:rFonts w:hint="eastAsia" w:ascii="宋体" w:hAnsi="宋体" w:eastAsia="宋体" w:cs="宋体"/>
                <w:color w:val="000000"/>
                <w:spacing w:val="-8"/>
                <w:kern w:val="0"/>
                <w:sz w:val="24"/>
                <w:szCs w:val="24"/>
              </w:rPr>
              <w:t>地方政府一般债务转贷收入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18000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（四）调入资金</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96208</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120000</w:t>
            </w:r>
          </w:p>
        </w:tc>
        <w:tc>
          <w:tcPr>
            <w:tcW w:w="1024" w:type="dxa"/>
            <w:shd w:val="clear" w:color="auto" w:fill="auto"/>
            <w:noWrap/>
            <w:vAlign w:val="center"/>
          </w:tcPr>
          <w:p>
            <w:pPr>
              <w:widowControl/>
              <w:spacing w:line="400" w:lineRule="exact"/>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42744</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其中：从政府性基金预算调入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65045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42384</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spacing w:val="-8"/>
                <w:kern w:val="0"/>
                <w:sz w:val="24"/>
                <w:szCs w:val="24"/>
              </w:rPr>
              <w:t xml:space="preserve">       从国有资本经营预算调入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700</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spacing w:val="-8"/>
                <w:kern w:val="0"/>
                <w:sz w:val="24"/>
                <w:szCs w:val="24"/>
              </w:rPr>
            </w:pPr>
            <w:r>
              <w:rPr>
                <w:rFonts w:hint="eastAsia" w:ascii="宋体" w:hAnsi="宋体" w:eastAsia="宋体" w:cs="宋体"/>
                <w:color w:val="000000"/>
                <w:spacing w:val="-8"/>
                <w:kern w:val="0"/>
                <w:sz w:val="24"/>
                <w:szCs w:val="24"/>
              </w:rPr>
              <w:t xml:space="preserve">       从其他资金调入</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30463</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spacing w:val="-8"/>
                <w:kern w:val="0"/>
                <w:sz w:val="24"/>
                <w:szCs w:val="24"/>
              </w:rPr>
            </w:pPr>
            <w:r>
              <w:rPr>
                <w:rFonts w:hint="eastAsia" w:ascii="宋体" w:hAnsi="宋体" w:eastAsia="宋体" w:cs="宋体"/>
                <w:color w:val="000000"/>
                <w:kern w:val="0"/>
                <w:sz w:val="24"/>
                <w:szCs w:val="24"/>
              </w:rPr>
              <w:t>（五）动用预算稳定调节金</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11713</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17903</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（六）使用结转资金</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76755</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69713</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73619</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3541" w:type="dxa"/>
            <w:shd w:val="clear" w:color="auto" w:fill="auto"/>
            <w:noWrap/>
            <w:vAlign w:val="center"/>
          </w:tcPr>
          <w:p>
            <w:pPr>
              <w:widowControl/>
              <w:spacing w:line="40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收入合计</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711451</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713296</w:t>
            </w:r>
          </w:p>
        </w:tc>
        <w:tc>
          <w:tcPr>
            <w:tcW w:w="1024" w:type="dxa"/>
            <w:shd w:val="clear" w:color="auto" w:fill="auto"/>
            <w:noWrap/>
            <w:vAlign w:val="center"/>
          </w:tcPr>
          <w:p>
            <w:pPr>
              <w:widowControl/>
              <w:spacing w:line="400" w:lineRule="exact"/>
              <w:jc w:val="righ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3"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639666</w:t>
            </w:r>
          </w:p>
        </w:tc>
        <w:tc>
          <w:tcPr>
            <w:tcW w:w="1024" w:type="dxa"/>
            <w:shd w:val="clear" w:color="auto" w:fill="auto"/>
            <w:noWrap/>
            <w:vAlign w:val="center"/>
          </w:tcPr>
          <w:p>
            <w:pPr>
              <w:widowControl/>
              <w:spacing w:line="4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pPr w:leftFromText="180" w:rightFromText="180" w:vertAnchor="text" w:horzAnchor="page" w:tblpX="1398" w:tblpY="293"/>
        <w:tblOverlap w:val="never"/>
        <w:tblW w:w="9920" w:type="dxa"/>
        <w:tblInd w:w="0" w:type="dxa"/>
        <w:tblLayout w:type="fixed"/>
        <w:tblCellMar>
          <w:top w:w="0" w:type="dxa"/>
          <w:left w:w="108" w:type="dxa"/>
          <w:bottom w:w="0" w:type="dxa"/>
          <w:right w:w="108" w:type="dxa"/>
        </w:tblCellMar>
      </w:tblPr>
      <w:tblGrid>
        <w:gridCol w:w="9920"/>
      </w:tblGrid>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增值税增加主要是免抵调实际调库额增长，2018年缓交税款入库。</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企业所得税增加主要是由于减税降费政策效应，企业利润增加。</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个人所得税减少主要是实施新税制，提高起征点及加大专项扣除范围。</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资源税增加主要是环评停产企业恢复产能。</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城市维护建设税、教育费附加、地方教育费附加减少主要是减税降费政策影响。</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房产</w:t>
            </w:r>
            <w:r>
              <w:rPr>
                <w:rFonts w:ascii="Times New Roman" w:hAnsi="Times New Roman" w:eastAsia="楷体_GB2312" w:cs="Times New Roman"/>
                <w:color w:val="000000"/>
                <w:spacing w:val="-8"/>
                <w:kern w:val="0"/>
                <w:sz w:val="22"/>
              </w:rPr>
              <w:t>税、城镇土地使用税增加主要是根据规定征期改变2018年下半年应征数2019年入库。</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印花税减少主要是减税降费政策影响。</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8</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土地增值税减少主要是可结算项目入库税款减少。</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9</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车船税减少主要是减税降费政策影响。</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10</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契税减少主要是房产交易量减少。</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11</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环境保护税增加主要是2018年新开征，2018年税收入库3个季度。</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12</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教育资金、农田水利建设资金根据上级文件精神暂停计提。</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13</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行政事业性收费收入减少主要是行政事业收费项目减少。</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14</w:t>
            </w:r>
            <w:r>
              <w:rPr>
                <w:rFonts w:hint="eastAsia" w:ascii="Times New Roman" w:hAnsi="Times New Roman" w:eastAsia="楷体_GB2312" w:cs="Times New Roman"/>
                <w:color w:val="000000"/>
                <w:kern w:val="0"/>
                <w:sz w:val="22"/>
              </w:rPr>
              <w:t>．</w:t>
            </w:r>
            <w:r>
              <w:rPr>
                <w:rFonts w:ascii="Times New Roman" w:hAnsi="Times New Roman" w:eastAsia="楷体_GB2312" w:cs="Times New Roman"/>
                <w:color w:val="000000"/>
                <w:kern w:val="0"/>
                <w:sz w:val="22"/>
              </w:rPr>
              <w:t>国有资源（资产）有偿使用收入增加主要是采矿权收入增加。</w:t>
            </w:r>
          </w:p>
        </w:tc>
      </w:tr>
      <w:tr>
        <w:tblPrEx>
          <w:tblLayout w:type="fixed"/>
          <w:tblCellMar>
            <w:top w:w="0" w:type="dxa"/>
            <w:left w:w="108" w:type="dxa"/>
            <w:bottom w:w="0" w:type="dxa"/>
            <w:right w:w="108" w:type="dxa"/>
          </w:tblCellMar>
        </w:tblPrEx>
        <w:trPr>
          <w:trHeight w:val="267" w:hRule="atLeast"/>
        </w:trPr>
        <w:tc>
          <w:tcPr>
            <w:tcW w:w="9920" w:type="dxa"/>
            <w:tcBorders>
              <w:top w:val="nil"/>
              <w:left w:val="nil"/>
              <w:bottom w:val="nil"/>
              <w:right w:val="nil"/>
            </w:tcBorders>
            <w:shd w:val="clear" w:color="auto" w:fill="auto"/>
            <w:noWrap/>
            <w:vAlign w:val="center"/>
          </w:tcPr>
          <w:p>
            <w:pPr>
              <w:widowControl/>
              <w:numPr>
                <w:ilvl w:val="0"/>
                <w:numId w:val="2"/>
              </w:numPr>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转移支付决算数与执行数不一致主要是执行报告时省与市县结算未完成，执行数为预计数。</w:t>
            </w:r>
          </w:p>
        </w:tc>
      </w:tr>
    </w:tbl>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2019年一般公共预算支出决算表</w:t>
      </w:r>
    </w:p>
    <w:p>
      <w:pPr>
        <w:spacing w:after="156" w:afterLines="50" w:line="400" w:lineRule="exact"/>
        <w:rPr>
          <w:rFonts w:ascii="Times New Roman" w:hAnsi="Times New Roman" w:cs="Times New Roman"/>
          <w:sz w:val="24"/>
          <w:szCs w:val="24"/>
        </w:rPr>
      </w:pPr>
      <w:r>
        <w:rPr>
          <w:rFonts w:ascii="Times New Roman" w:hAnsi="Times New Roman" w:eastAsia="楷体_GB2312" w:cs="Times New Roman"/>
          <w:kern w:val="0"/>
          <w:sz w:val="24"/>
          <w:szCs w:val="24"/>
        </w:rPr>
        <w:t>表二（1）                       　　　　　　　　　              单位：万元</w:t>
      </w:r>
    </w:p>
    <w:tbl>
      <w:tblPr>
        <w:tblStyle w:val="10"/>
        <w:tblW w:w="95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558"/>
        <w:gridCol w:w="1017"/>
        <w:gridCol w:w="839"/>
        <w:gridCol w:w="1080"/>
        <w:gridCol w:w="1080"/>
        <w:gridCol w:w="1080"/>
        <w:gridCol w:w="836"/>
        <w:gridCol w:w="10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8" w:hRule="atLeast"/>
          <w:tblHeader/>
          <w:jc w:val="center"/>
        </w:trPr>
        <w:tc>
          <w:tcPr>
            <w:tcW w:w="2558"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支  出  科  目</w:t>
            </w:r>
          </w:p>
        </w:tc>
        <w:tc>
          <w:tcPr>
            <w:tcW w:w="1017"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2019年决算数</w:t>
            </w:r>
          </w:p>
        </w:tc>
        <w:tc>
          <w:tcPr>
            <w:tcW w:w="4915" w:type="dxa"/>
            <w:gridSpan w:val="5"/>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地方安排的支出</w:t>
            </w:r>
          </w:p>
        </w:tc>
        <w:tc>
          <w:tcPr>
            <w:tcW w:w="1084" w:type="dxa"/>
            <w:vMerge w:val="restart"/>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上级补助及债券</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2" w:hRule="atLeast"/>
          <w:tblHeader/>
          <w:jc w:val="center"/>
        </w:trPr>
        <w:tc>
          <w:tcPr>
            <w:tcW w:w="2558" w:type="dxa"/>
            <w:vMerge w:val="continue"/>
            <w:vAlign w:val="center"/>
          </w:tcPr>
          <w:p>
            <w:pPr>
              <w:widowControl/>
              <w:jc w:val="left"/>
              <w:rPr>
                <w:rFonts w:ascii="黑体" w:hAnsi="黑体" w:eastAsia="黑体" w:cs="宋体"/>
                <w:color w:val="000000"/>
                <w:kern w:val="0"/>
                <w:sz w:val="24"/>
                <w:szCs w:val="24"/>
              </w:rPr>
            </w:pPr>
          </w:p>
        </w:tc>
        <w:tc>
          <w:tcPr>
            <w:tcW w:w="1017" w:type="dxa"/>
            <w:vMerge w:val="continue"/>
            <w:vAlign w:val="center"/>
          </w:tcPr>
          <w:p>
            <w:pPr>
              <w:widowControl/>
              <w:jc w:val="left"/>
              <w:rPr>
                <w:rFonts w:ascii="黑体" w:hAnsi="黑体" w:eastAsia="黑体" w:cs="宋体"/>
                <w:color w:val="000000"/>
                <w:kern w:val="0"/>
                <w:sz w:val="24"/>
                <w:szCs w:val="24"/>
              </w:rPr>
            </w:pPr>
          </w:p>
        </w:tc>
        <w:tc>
          <w:tcPr>
            <w:tcW w:w="839"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2019年执行数</w:t>
            </w:r>
          </w:p>
        </w:tc>
        <w:tc>
          <w:tcPr>
            <w:tcW w:w="108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年初</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w:t>
            </w:r>
          </w:p>
        </w:tc>
        <w:tc>
          <w:tcPr>
            <w:tcW w:w="108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w:t>
            </w:r>
          </w:p>
        </w:tc>
        <w:tc>
          <w:tcPr>
            <w:tcW w:w="1080"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2018年</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执行数</w:t>
            </w:r>
          </w:p>
        </w:tc>
        <w:tc>
          <w:tcPr>
            <w:tcW w:w="83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比2018年±%</w:t>
            </w:r>
          </w:p>
        </w:tc>
        <w:tc>
          <w:tcPr>
            <w:tcW w:w="1084" w:type="dxa"/>
            <w:vMerge w:val="continue"/>
            <w:vAlign w:val="center"/>
          </w:tcPr>
          <w:p>
            <w:pPr>
              <w:widowControl/>
              <w:jc w:val="left"/>
              <w:rPr>
                <w:rFonts w:ascii="黑体" w:hAnsi="黑体" w:eastAsia="黑体"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一、本级支出</w:t>
            </w:r>
          </w:p>
        </w:tc>
        <w:tc>
          <w:tcPr>
            <w:tcW w:w="101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580971 </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401431</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409623</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98.0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316003</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27.0 </w:t>
            </w:r>
          </w:p>
        </w:tc>
        <w:tc>
          <w:tcPr>
            <w:tcW w:w="1084"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（一）一般公共服务支出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52686</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48969</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47494</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42604</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（二）国防支出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56.1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（三）公共安全支出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36062</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29585</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28199</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104.9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20148</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46.8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（四）教育支出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110409</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100974</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100850</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100.1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99389</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（五）科学技术支出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16512</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16424</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16423</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12188</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34.8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72"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（六）文化旅游体育与传媒支出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10325</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4359</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3775</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115.5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3742</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72"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（七）社会保障和就业支出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101161</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70139</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67394</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104.1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40803</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71.9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（八）卫生健康支出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77782</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54245</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53023</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102.3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39782</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36.4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（九）节能环保支出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8663</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3424</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3239</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105.7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2634</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（十）城乡社区支出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23783</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16535</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10785</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9883</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67.3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（十一）农林水支出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73650</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27004</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26996</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26395</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46646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（十二）交通运输支出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19674</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1161</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1152</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100.8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1084</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（十三）资源勘探信息等支出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14403</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11477</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12327</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93.1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671</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1610.4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85"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（十四）商业服务业等支出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3155</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2437</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2399</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101.6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1314</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85.5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（十五）自然资源海洋气象等支出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18141</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2834</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1543</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183.7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2450</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15.7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（十六）住房保障支出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3878</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1455</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1483</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1168</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8"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（十七）粮油物资储备支出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727</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79.9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710</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58"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（十八）灾害防治及应急管理支出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3628</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3556</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3692</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96.3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1873</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89.9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（十九）其他支出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16131</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3512</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-91.2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（二十）债务付息支出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5442</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103.6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5351</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（二十一）债务发行费支出</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500.0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（二十二）预备费</w:t>
            </w:r>
          </w:p>
        </w:tc>
        <w:tc>
          <w:tcPr>
            <w:tcW w:w="1017"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2" w:hRule="atLeast"/>
          <w:jc w:val="center"/>
        </w:trPr>
        <w:tc>
          <w:tcPr>
            <w:tcW w:w="2558" w:type="dxa"/>
            <w:shd w:val="clear" w:color="auto" w:fill="auto"/>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二、转移性支出</w:t>
            </w:r>
          </w:p>
        </w:tc>
        <w:tc>
          <w:tcPr>
            <w:tcW w:w="101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130480 </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2"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（一）上解上级支出</w:t>
            </w:r>
          </w:p>
        </w:tc>
        <w:tc>
          <w:tcPr>
            <w:tcW w:w="101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80064 </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2"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（二）援助其他地区支出</w:t>
            </w:r>
          </w:p>
        </w:tc>
        <w:tc>
          <w:tcPr>
            <w:tcW w:w="101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755 </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2"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（三）安排预算稳定调节基金</w:t>
            </w:r>
          </w:p>
        </w:tc>
        <w:tc>
          <w:tcPr>
            <w:tcW w:w="101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3412</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2"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（四）地方政府一般债务还本支出</w:t>
            </w:r>
          </w:p>
        </w:tc>
        <w:tc>
          <w:tcPr>
            <w:tcW w:w="101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3170 </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2" w:hRule="atLeast"/>
          <w:jc w:val="center"/>
        </w:trPr>
        <w:tc>
          <w:tcPr>
            <w:tcW w:w="2558" w:type="dxa"/>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（五）结转下年支出</w:t>
            </w:r>
          </w:p>
        </w:tc>
        <w:tc>
          <w:tcPr>
            <w:tcW w:w="101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43079</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2" w:hRule="atLeast"/>
          <w:jc w:val="center"/>
        </w:trPr>
        <w:tc>
          <w:tcPr>
            <w:tcW w:w="2558"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支出合计</w:t>
            </w:r>
          </w:p>
        </w:tc>
        <w:tc>
          <w:tcPr>
            <w:tcW w:w="101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711451 </w:t>
            </w:r>
          </w:p>
        </w:tc>
        <w:tc>
          <w:tcPr>
            <w:tcW w:w="839"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3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
    <w:p>
      <w:pP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hint="eastAsia"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2019年一般公共预算支出决算表</w:t>
      </w:r>
    </w:p>
    <w:p>
      <w:pPr>
        <w:spacing w:after="156" w:afterLines="50" w:line="400" w:lineRule="exact"/>
        <w:rPr>
          <w:rFonts w:ascii="Times New Roman" w:hAnsi="Times New Roman" w:cs="Times New Roman"/>
          <w:sz w:val="24"/>
          <w:szCs w:val="24"/>
        </w:rPr>
      </w:pPr>
      <w:r>
        <w:rPr>
          <w:rFonts w:ascii="Times New Roman" w:hAnsi="Times New Roman" w:eastAsia="楷体_GB2312" w:cs="Times New Roman"/>
          <w:kern w:val="0"/>
          <w:sz w:val="24"/>
          <w:szCs w:val="24"/>
        </w:rPr>
        <w:t>表二（2）                       　　　　 　　　　              单位：万元</w:t>
      </w:r>
    </w:p>
    <w:tbl>
      <w:tblPr>
        <w:tblStyle w:val="10"/>
        <w:tblW w:w="94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811"/>
        <w:gridCol w:w="936"/>
        <w:gridCol w:w="936"/>
        <w:gridCol w:w="936"/>
        <w:gridCol w:w="756"/>
        <w:gridCol w:w="936"/>
        <w:gridCol w:w="876"/>
        <w:gridCol w:w="12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8" w:hRule="atLeast"/>
          <w:tblHeader/>
          <w:jc w:val="center"/>
        </w:trPr>
        <w:tc>
          <w:tcPr>
            <w:tcW w:w="2811" w:type="dxa"/>
            <w:vMerge w:val="restart"/>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支  出  科  目</w:t>
            </w:r>
          </w:p>
        </w:tc>
        <w:tc>
          <w:tcPr>
            <w:tcW w:w="936" w:type="dxa"/>
            <w:vMerge w:val="restart"/>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2019年决算数</w:t>
            </w:r>
          </w:p>
        </w:tc>
        <w:tc>
          <w:tcPr>
            <w:tcW w:w="4440" w:type="dxa"/>
            <w:gridSpan w:val="5"/>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地方安排的支出</w:t>
            </w:r>
          </w:p>
        </w:tc>
        <w:tc>
          <w:tcPr>
            <w:tcW w:w="1230" w:type="dxa"/>
            <w:vMerge w:val="restart"/>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上级补助及</w:t>
            </w:r>
            <w:r>
              <w:rPr>
                <w:rFonts w:ascii="Times New Roman" w:hAnsi="Times New Roman" w:eastAsia="黑体" w:cs="Times New Roman"/>
                <w:color w:val="000000"/>
                <w:kern w:val="0"/>
                <w:sz w:val="22"/>
              </w:rPr>
              <w:t>债券支出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49" w:hRule="atLeast"/>
          <w:tblHeader/>
          <w:jc w:val="center"/>
        </w:trPr>
        <w:tc>
          <w:tcPr>
            <w:tcW w:w="2811" w:type="dxa"/>
            <w:vMerge w:val="continue"/>
            <w:vAlign w:val="center"/>
          </w:tcPr>
          <w:p>
            <w:pPr>
              <w:widowControl/>
              <w:jc w:val="left"/>
              <w:textAlignment w:val="center"/>
              <w:rPr>
                <w:rFonts w:ascii="Times New Roman" w:hAnsi="Times New Roman" w:eastAsia="黑体" w:cs="Times New Roman"/>
                <w:color w:val="000000"/>
                <w:kern w:val="0"/>
                <w:sz w:val="24"/>
                <w:szCs w:val="24"/>
              </w:rPr>
            </w:pPr>
          </w:p>
        </w:tc>
        <w:tc>
          <w:tcPr>
            <w:tcW w:w="936" w:type="dxa"/>
            <w:vMerge w:val="continue"/>
            <w:vAlign w:val="center"/>
          </w:tcPr>
          <w:p>
            <w:pPr>
              <w:widowControl/>
              <w:jc w:val="left"/>
              <w:textAlignment w:val="center"/>
              <w:rPr>
                <w:rFonts w:ascii="Times New Roman" w:hAnsi="Times New Roman" w:eastAsia="黑体" w:cs="Times New Roman"/>
                <w:color w:val="000000"/>
                <w:kern w:val="0"/>
                <w:sz w:val="24"/>
                <w:szCs w:val="24"/>
              </w:rPr>
            </w:pPr>
          </w:p>
        </w:tc>
        <w:tc>
          <w:tcPr>
            <w:tcW w:w="936"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2019年</w:t>
            </w:r>
          </w:p>
          <w:p>
            <w:pPr>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执行数</w:t>
            </w:r>
          </w:p>
        </w:tc>
        <w:tc>
          <w:tcPr>
            <w:tcW w:w="936"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2019年</w:t>
            </w:r>
          </w:p>
          <w:p>
            <w:pPr>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预算数</w:t>
            </w:r>
          </w:p>
        </w:tc>
        <w:tc>
          <w:tcPr>
            <w:tcW w:w="756"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完成</w:t>
            </w:r>
          </w:p>
          <w:p>
            <w:pPr>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预算%</w:t>
            </w:r>
          </w:p>
        </w:tc>
        <w:tc>
          <w:tcPr>
            <w:tcW w:w="936"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2018年执行数</w:t>
            </w:r>
          </w:p>
        </w:tc>
        <w:tc>
          <w:tcPr>
            <w:tcW w:w="876"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比上年±%</w:t>
            </w:r>
          </w:p>
        </w:tc>
        <w:tc>
          <w:tcPr>
            <w:tcW w:w="1230" w:type="dxa"/>
            <w:vMerge w:val="continue"/>
            <w:vAlign w:val="center"/>
          </w:tcPr>
          <w:p>
            <w:pPr>
              <w:widowControl/>
              <w:jc w:val="left"/>
              <w:textAlignment w:val="center"/>
              <w:rPr>
                <w:rFonts w:ascii="Times New Roman" w:hAnsi="Times New Roman" w:eastAsia="黑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580971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401431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409623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316003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1.一般公共服务支出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52686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48969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47494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42603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人大事务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人大会议</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人大监督</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人大代表履职能力提升</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代表工作</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政协事务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政协会议</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其他政协事务支出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政府办公厅（室）及相关机构事务</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19112</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18669</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18716</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17263</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15935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14450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机关服务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政务公开审批</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其他政府办公厅（室）及相关机构事务支出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发展与改革事务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机关服务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社会事业发展规划</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物价管理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其他发展与改革事务支出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统计信息事务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专项统计业务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专项普查活动</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统计抽样调查</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其他统计信息事务支出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4598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其他财政事务支出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税收事务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税务办案</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代扣代收代征税款手续费</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税务宣传</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协税护税</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审计事务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审计业务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海关事务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其他海关事务支出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纪检监察事务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大案要案查处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其他纪检监察事务支出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商贸事务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对外贸易管理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招商引资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其他商贸事务支出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民族事务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其他民族事务支出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港澳台事务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港澳事务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档案事务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档案馆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民主党派及工商联事务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其他民主党派及工商联事务支出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群众团体事务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其他群众团体事务支出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党委办公厅（室）及相关机构事务</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708</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其他党委办公厅(室)及相关机构事务支出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组织事务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公务员事务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其他组织事务支出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宣传事务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其他宣传事务支出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统战事务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宗教事务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华侨事务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其他统战事务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其他共产党事务支出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2147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其他共产党事务支出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市场监督管理事务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机关服务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市场监督管理专项</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市场监管执法</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其他市场监督管理事务</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其他一般公共服务支出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其他一般公共服务支出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1599</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2.国防支出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国防动员</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人民防空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民兵</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3.公共安全支出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36062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29585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28199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20148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武装警察部队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武装警察部队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公安</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26156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20683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13957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13922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13329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执法办案</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其他公安支出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检察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检查监督</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其他检察支出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法院</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5122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3475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3475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案件审判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案件执行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其他法院支出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司法</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基层司法业务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普法宣传</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法律援助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社区矫正</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法制建设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其他司法支出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其他公共安全支出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其他公共安全支出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4.教育支出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110409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100974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99389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教育管理事务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普通教育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90634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82198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81616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81368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学前教育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小学教育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33407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30448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29380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初中教育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25414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24417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24725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高中教育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15485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14336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其他普通教育支出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9033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8483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10867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职业教育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5597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5051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技校教育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职业高中教育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3377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其他职业教育支出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成人教育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成人高等教育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其他成人教育支出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广播电视教育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广播电视学校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特殊教育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特殊学校教育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进修及培训</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教师进修</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干部教育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培训支出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教育费附加安排的支出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其他教育费附加安排的支出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7921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7915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8055</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其他教育支出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5285</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其他教育支出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5285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5.科学技术支出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16423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12188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科学技术管理事务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其他科学技术管理事务支出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应用研究</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机构运行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技术研究与开发</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15390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10372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应用技术研究与开发</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其他技术研究与开发支出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15335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15335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15400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10372</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科技条件与服务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技术创新服务体系</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社会科学</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社会科学研究</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科学技术普及</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科普活动</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科技馆站</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其他科学技术普及支出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6.文化旅游体育和传媒支出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10325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3775</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3742</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文化和旅游</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2621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图书馆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艺术表演场所</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艺术表演团体</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文化活动</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群众文化</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文化创作与保护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文化和旅游市场管理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旅游宣传</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旅游行业业务管理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其他文化和旅游支出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文物保护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博物馆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jc w:val="left"/>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历史名城与古迹</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体育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体育场馆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群众体育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其他体育支出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新闻出版电影</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出版发行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其他新闻出版电影支出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广播电视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电视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其他广播电视支出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其他文化体育与传媒支出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其他文化体育与传媒支出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7.社会保障和就业支出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101161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70139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67394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71.9</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人力资源和社会保障管理事务</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3457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劳动保障监察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社会保险经办机构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劳动关系和维权</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其他人力资源和社会保障管理事务支出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654</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民间组织管理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行政区划和地名管理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基层政权和社区建设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其他民政管理事务支出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1267</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1303</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行政事业单位离退休</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33652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28731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归口管理的行政单位离退休</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离退休人员管理机构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对机关事业单位基本养老保险基金的补助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33055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33055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28055</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2779</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企业改革补助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企业关闭破产补助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就业补助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其他就业补助支出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抚恤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5916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死亡抚恤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伤残抚恤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义务兵优待</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其他优抚支出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退役安置</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退役士兵安置</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军队移交政府的离退休人员安置</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军队移交政府离退休干部管理机构</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其他退役安置支出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退役士兵管理教育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社会福利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儿童福利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老年福利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殡葬</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社会福利事业单位</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残疾人事业</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972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残疾人康复</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残疾人就业和扶贫</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残疾人体育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3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残疾人生活和护理补贴</w:t>
            </w:r>
          </w:p>
        </w:tc>
        <w:tc>
          <w:tcPr>
            <w:tcW w:w="936" w:type="dxa"/>
            <w:shd w:val="clear" w:color="auto" w:fill="auto"/>
            <w:noWrap/>
            <w:vAlign w:val="center"/>
          </w:tcPr>
          <w:p>
            <w:pPr>
              <w:widowControl/>
              <w:spacing w:line="3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3120</w:t>
            </w:r>
          </w:p>
        </w:tc>
        <w:tc>
          <w:tcPr>
            <w:tcW w:w="936" w:type="dxa"/>
            <w:shd w:val="clear" w:color="auto" w:fill="auto"/>
            <w:noWrap/>
            <w:vAlign w:val="center"/>
          </w:tcPr>
          <w:p>
            <w:pPr>
              <w:widowControl/>
              <w:spacing w:line="3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w:t>
            </w:r>
          </w:p>
        </w:tc>
        <w:tc>
          <w:tcPr>
            <w:tcW w:w="936" w:type="dxa"/>
            <w:shd w:val="clear" w:color="auto" w:fill="auto"/>
            <w:noWrap/>
            <w:vAlign w:val="center"/>
          </w:tcPr>
          <w:p>
            <w:pPr>
              <w:widowControl/>
              <w:spacing w:line="3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w:t>
            </w:r>
          </w:p>
        </w:tc>
        <w:tc>
          <w:tcPr>
            <w:tcW w:w="756" w:type="dxa"/>
            <w:shd w:val="clear" w:color="auto" w:fill="auto"/>
            <w:noWrap/>
            <w:vAlign w:val="center"/>
          </w:tcPr>
          <w:p>
            <w:pPr>
              <w:widowControl/>
              <w:spacing w:line="3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3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w:t>
            </w:r>
          </w:p>
        </w:tc>
        <w:tc>
          <w:tcPr>
            <w:tcW w:w="876" w:type="dxa"/>
            <w:shd w:val="clear" w:color="auto" w:fill="auto"/>
            <w:noWrap/>
            <w:vAlign w:val="center"/>
          </w:tcPr>
          <w:p>
            <w:pPr>
              <w:widowControl/>
              <w:spacing w:line="3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3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其他残疾人事业支出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红十字事业</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其他红十字事业支出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最低生活保障</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城市最低生活保障金支出</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农村最低生活保障金支出</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5738</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456</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2750</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2800</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临时救助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临时救助支出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流浪乞讨人员救助支出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特困人员救助供养</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城市特困人员救助供养支出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农村特困人员救助供养支出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其他生活救助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其他城市生活救助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其他农村生活救助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财政对基本养老保险基金的补助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25476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10401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8793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财政对城乡居民基本养老保险基金的补助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25476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10401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8793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财政对其他社会保险基金的补助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2983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财政对工伤保险基金的补助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其他财政对社会保险基金的补助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退役军人管理事务</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其他退役军人事务管理支出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其他社会保障和就业支出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6751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6361</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其他社会保障和就业支出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6751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6565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6361</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8.卫生健康支出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77782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54245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53023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39781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卫生健康管理事务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其他卫生健康管理事务支出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公立医院</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综合医院</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中医（民族）医院</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其他公立医院支出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基层医疗卫生机构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6293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4411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乡镇卫生院</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其他基层医疗卫生机构支出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1894</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公共卫生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7617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疾病预防控制机构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卫生监督机构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妇幼保健机构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精神卫生机构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应急救治机构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采供血机构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基本公共卫生服务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重大公共卫生专项</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其他公共卫生支出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中医药</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中医（民族医）药专项</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其他中医药支出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4750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计划生育事务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计划生育机构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计划生育服务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其他计划生育事务支出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行政事业单位医疗</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15847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12556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8266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行政单位医疗</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事业单位医疗</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公务员医疗补助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其他行政事业单位医疗支出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财政对基本医疗保险基金的补助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29957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17525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20198</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13784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财政对城乡居民基本医疗保险基金的补助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29471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17039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19687</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13290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财政对其他基本医疗保险基金的补助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511</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494</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医疗救助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城乡医疗救助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疾病医疗救助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优抚对象医疗</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优抚对象医疗救助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医疗保障管理事务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医疗保障政策管理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医疗保障经办事务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其他医疗保障支出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其他卫生健康支出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其他卫生健康支出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9.节能环保支出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8663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环境保护管理事务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FF0000"/>
                <w:kern w:val="0"/>
                <w:sz w:val="24"/>
                <w:szCs w:val="24"/>
              </w:rPr>
            </w:pPr>
            <w:r>
              <w:rPr>
                <w:rFonts w:ascii="Times New Roman" w:hAnsi="Times New Roman" w:eastAsia="宋体" w:cs="Times New Roman"/>
                <w:color w:val="FF0000"/>
                <w:kern w:val="0"/>
                <w:sz w:val="24"/>
                <w:szCs w:val="24"/>
              </w:rPr>
              <w:t> </w:t>
            </w:r>
            <w:r>
              <w:rPr>
                <w:rFonts w:ascii="Times New Roman" w:hAnsi="Times New Roman" w:eastAsia="宋体" w:cs="Times New Roman"/>
                <w:color w:val="000000"/>
                <w:kern w:val="0"/>
                <w:sz w:val="24"/>
                <w:szCs w:val="24"/>
              </w:rPr>
              <w:t xml:space="preserve">    应对气候变化管理事务</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FF0000"/>
                <w:kern w:val="0"/>
                <w:sz w:val="24"/>
                <w:szCs w:val="24"/>
              </w:rPr>
            </w:pPr>
            <w:r>
              <w:rPr>
                <w:rFonts w:ascii="Times New Roman" w:hAnsi="Times New Roman" w:eastAsia="宋体" w:cs="Times New Roman"/>
                <w:color w:val="FF0000"/>
                <w:kern w:val="0"/>
                <w:sz w:val="24"/>
                <w:szCs w:val="24"/>
              </w:rPr>
              <w:t xml:space="preserve">    </w:t>
            </w:r>
            <w:r>
              <w:rPr>
                <w:rFonts w:ascii="Times New Roman" w:hAnsi="Times New Roman" w:eastAsia="宋体" w:cs="Times New Roman"/>
                <w:color w:val="000000"/>
                <w:kern w:val="0"/>
                <w:sz w:val="24"/>
                <w:szCs w:val="24"/>
              </w:rPr>
              <w:t> 其他环境保护管理事务支出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污染防治</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大气</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水体</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其他污染防治支出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自然生态保护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生态保护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天然林保护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停伐补助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能源节约利用</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能源节约利用</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污染减排</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生态环境监测与信息</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生态环境执法监察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减排专项支出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其他污染减排支出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其他节能环保支出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其他节能环保支出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10.城乡社区支出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23783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16535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10785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9884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67.3</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6505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5182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城管执法</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工程建设管理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其他城乡社区管理事务支出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1561</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城乡社区规划与管理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城乡社区规划与管理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城乡社区公共设施</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其他城乡社区公共设施支出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11430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839</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城乡社区环境卫生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城乡社区环境卫生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建设市场管理与监督</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建设市场管理与监督</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11.农林水支出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73650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27004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26996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26395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46646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13284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7648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7546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6944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3828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科技转化与推广服务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病虫害控制</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农产品质量安全</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执法监管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统计监测与信息服务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农业行业业务管理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防灾救灾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农业结构调整补贴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农业生产支持补贴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农业组织化与产业化经营</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农产品加工与促销</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农村公益事业</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农业资源保护修复与利用</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成品油价格改革对渔业的补贴</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对高校毕业生到基层任职补助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其他农业支出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林业和草原</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森林培育</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森林资源管理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森林生态效益补偿</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动植物保护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湿地保护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执法与监督</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防灾减灾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其他林业和草原支出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34697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8180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11053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水利行业业务管理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水利工程建设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水利工程运行与维护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水利前期工作</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水利执法监督</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水土保持</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水资源节约管理与保护</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378</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防汛</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农田水利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大中型水库移民后期扶持专项支出</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1427</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水利建设移民支出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农村人畜饮水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其他水利支出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扶贫</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农村基础设施建设</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生产发展</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其他扶贫支出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农业综合开发</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机构运行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土地治理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其他农业综合开发支出</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740</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农村综合改革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12459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4732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对村级一事一议的补助</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6333</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4500</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4500</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4200</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对村民委员会和村党支部的补助</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3899</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农村综合改革示范试点补助</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其他农村综合改革支出</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1927</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普惠金融发展支出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农业保险保费支出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其他普惠金融发展支出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其他农林水支出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其他农林水支出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12.交通运输支出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公路水路运输</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9847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735</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其他公路水路运输支出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9510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成品油价格改革对交通运输的补贴</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对城市公交的补贴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对农村道路客运的补贴</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812</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对出租车的补贴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车辆购置税支出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8182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车辆购置税用于公路等基础设施建设支出</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8177</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280" w:lineRule="exact"/>
              <w:textAlignment w:val="center"/>
              <w:rPr>
                <w:rFonts w:ascii="Times New Roman" w:hAnsi="Times New Roman" w:eastAsia="宋体" w:cs="Times New Roman"/>
                <w:color w:val="ED7D31"/>
                <w:kern w:val="0"/>
                <w:sz w:val="24"/>
                <w:szCs w:val="24"/>
              </w:rPr>
            </w:pPr>
            <w:r>
              <w:rPr>
                <w:rFonts w:ascii="Times New Roman" w:hAnsi="Times New Roman" w:eastAsia="宋体" w:cs="Times New Roman"/>
                <w:color w:val="ED7D31"/>
                <w:kern w:val="0"/>
                <w:sz w:val="24"/>
                <w:szCs w:val="24"/>
              </w:rPr>
              <w:t xml:space="preserve">     </w:t>
            </w:r>
            <w:r>
              <w:rPr>
                <w:rFonts w:ascii="Times New Roman" w:hAnsi="Times New Roman" w:eastAsia="宋体" w:cs="Times New Roman"/>
                <w:color w:val="000000"/>
                <w:kern w:val="0"/>
                <w:sz w:val="24"/>
                <w:szCs w:val="24"/>
              </w:rPr>
              <w:t>车辆购置税其他支出</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2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其他交通运输支出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公共交通运营补助</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其他交通运输支出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13.资源勘探信息等支出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14403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12327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1610.8</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工业和信息产业监管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3426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工业和信息产业支持</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30" w:hRule="atLeast"/>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其他工业和信息产业监管支出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02" w:hRule="atLeast"/>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支持中小企业发展和管理支出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10977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10796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11572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中小企业发展专项</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6" w:hRule="atLeast"/>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其他支持中小企业发展和管理支出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10817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10796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11572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14.商业服务业等支出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商业流通事务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其他商业流通事务支出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涉外发展服务支出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其他涉外发展服务支出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1499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496</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其他商业服务业等支出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其他商业服务业等支出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15.自然资源海洋气象等支出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18141</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2834</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1543</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183.7</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自然资源事务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17811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2560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土地资源调查</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土地资源利用与保护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14146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自然资源调查</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国土整治</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其他自然资源事务支出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2032</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测绘事务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基础测绘</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气象事业机构</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气象探测</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气象信息传输及管理</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气象预报预测</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气象服务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气象装备保障维护</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其他气象事务支出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16.住房保障支出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3878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1455</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1483</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24.5</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保障性安居工程支出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农村危房改造</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公共租赁住房</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保障性住房租金补贴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其他保障性安居工程支出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755</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城乡社区住宅</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1074</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住房公积金管理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其他城乡社区住宅支出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1079</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994</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998</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17.粮油物资储备支出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-18.1</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粮油事务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粮食财务挂账利息补贴</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粮油储备</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储备粮油补贴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18.灾害防治及应急管理支出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3556</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3692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96.3</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1872</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89.9</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应急管理事务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1371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其他应急管理支出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消防事务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1453</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消防应急救援</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其他消防事务支出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1381</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1029</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地震事务</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防震减灾信息管理</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自然灾害防治</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地质灾害防治</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802</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1837</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自然灾害救灾及恢复重建支出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地方自然灾害生活补助</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19.预备费</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6000</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20.其他支出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16131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-91.2</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16131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16131</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3512</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21.债务付息支出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5442</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103.6</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5351</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地方政府一般债务付息支出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5351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地方政府一般债券付息支出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5638</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5442</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5351</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spacing w:line="44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22.债务发行费用支出</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75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93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4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811" w:type="dxa"/>
            <w:shd w:val="clear" w:color="auto" w:fill="auto"/>
            <w:noWrap/>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地方政府一般债务发行费用支出</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75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87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417" w:type="dxa"/>
        <w:jc w:val="center"/>
        <w:tblInd w:w="0" w:type="dxa"/>
        <w:tblLayout w:type="fixed"/>
        <w:tblCellMar>
          <w:top w:w="0" w:type="dxa"/>
          <w:left w:w="28" w:type="dxa"/>
          <w:bottom w:w="0" w:type="dxa"/>
          <w:right w:w="28" w:type="dxa"/>
        </w:tblCellMar>
      </w:tblPr>
      <w:tblGrid>
        <w:gridCol w:w="9417"/>
      </w:tblGrid>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jc w:val="left"/>
              <w:rPr>
                <w:rFonts w:ascii="Times New Roman" w:hAnsi="Times New Roman" w:eastAsia="Times New Roman" w:cs="Times New Roman"/>
                <w:kern w:val="0"/>
                <w:sz w:val="20"/>
                <w:szCs w:val="20"/>
              </w:rPr>
            </w:pPr>
            <w:r>
              <w:rPr>
                <w:rFonts w:ascii="Times New Roman" w:hAnsi="Times New Roman" w:eastAsia="楷体_GB2312" w:cs="Times New Roman"/>
                <w:color w:val="000000"/>
                <w:kern w:val="0"/>
                <w:sz w:val="22"/>
              </w:rPr>
              <w:t>注：1.公共安全支出增加主要是公安协辅警改革支出增加。</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440" w:firstLineChars="200"/>
              <w:jc w:val="left"/>
              <w:rPr>
                <w:rFonts w:ascii="Times New Roman" w:hAnsi="Times New Roman" w:eastAsia="Times New Roman" w:cs="Times New Roman"/>
                <w:kern w:val="0"/>
                <w:sz w:val="20"/>
                <w:szCs w:val="20"/>
              </w:rPr>
            </w:pPr>
            <w:r>
              <w:rPr>
                <w:rFonts w:ascii="Times New Roman" w:hAnsi="Times New Roman" w:eastAsia="宋体" w:cs="Times New Roman"/>
                <w:color w:val="000000"/>
                <w:kern w:val="0"/>
                <w:sz w:val="22"/>
              </w:rPr>
              <w:t>2.</w:t>
            </w:r>
            <w:r>
              <w:rPr>
                <w:rFonts w:ascii="Times New Roman" w:hAnsi="Times New Roman" w:eastAsia="楷体_GB2312" w:cs="Times New Roman"/>
                <w:color w:val="000000"/>
                <w:kern w:val="0"/>
                <w:sz w:val="22"/>
              </w:rPr>
              <w:t>科学技术支出增加主要是科技类政策奖励支出增加。</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440" w:firstLineChars="200"/>
              <w:jc w:val="left"/>
              <w:rPr>
                <w:rFonts w:ascii="Times New Roman" w:hAnsi="Times New Roman" w:eastAsia="Times New Roman" w:cs="Times New Roman"/>
                <w:kern w:val="0"/>
                <w:sz w:val="20"/>
                <w:szCs w:val="20"/>
              </w:rPr>
            </w:pPr>
            <w:r>
              <w:rPr>
                <w:rFonts w:ascii="Times New Roman" w:hAnsi="Times New Roman" w:eastAsia="宋体" w:cs="Times New Roman"/>
                <w:color w:val="000000"/>
                <w:kern w:val="0"/>
                <w:sz w:val="22"/>
              </w:rPr>
              <w:t>3.</w:t>
            </w:r>
            <w:r>
              <w:rPr>
                <w:rFonts w:ascii="Times New Roman" w:hAnsi="Times New Roman" w:eastAsia="楷体_GB2312" w:cs="Times New Roman"/>
                <w:color w:val="000000"/>
                <w:kern w:val="0"/>
                <w:sz w:val="22"/>
              </w:rPr>
              <w:t>文化旅游体育和传媒支出增加主要是融媒体运行经费增加。</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440" w:firstLineChars="20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r>
              <w:rPr>
                <w:rFonts w:ascii="Times New Roman" w:hAnsi="Times New Roman" w:eastAsia="楷体_GB2312" w:cs="Times New Roman"/>
                <w:color w:val="000000"/>
                <w:kern w:val="0"/>
                <w:sz w:val="22"/>
              </w:rPr>
              <w:t>社会保障和就业支出增加主要是机关事业单位基本养老保险基金缺口财政补助增加。</w:t>
            </w:r>
          </w:p>
        </w:tc>
      </w:tr>
      <w:tr>
        <w:tblPrEx>
          <w:tblLayout w:type="fixed"/>
          <w:tblCellMar>
            <w:top w:w="0" w:type="dxa"/>
            <w:left w:w="28" w:type="dxa"/>
            <w:bottom w:w="0" w:type="dxa"/>
            <w:right w:w="28" w:type="dxa"/>
          </w:tblCellMar>
        </w:tblPrEx>
        <w:trPr>
          <w:jc w:val="center"/>
        </w:trPr>
        <w:tc>
          <w:tcPr>
            <w:tcW w:w="9417" w:type="dxa"/>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宋体" w:cs="Times New Roman"/>
                <w:color w:val="000000"/>
                <w:kern w:val="0"/>
                <w:sz w:val="22"/>
              </w:rPr>
              <w:t>5.</w:t>
            </w:r>
            <w:r>
              <w:rPr>
                <w:rFonts w:ascii="Times New Roman" w:hAnsi="Times New Roman" w:eastAsia="楷体_GB2312" w:cs="Times New Roman"/>
                <w:color w:val="000000"/>
                <w:kern w:val="0"/>
                <w:sz w:val="22"/>
              </w:rPr>
              <w:t>卫生健康支出增加主要是城镇职工基本医疗保险、城乡居民基本医疗保险</w:t>
            </w:r>
            <w:r>
              <w:rPr>
                <w:rFonts w:ascii="Times New Roman" w:hAnsi="Times New Roman" w:eastAsia="宋体" w:cs="Times New Roman"/>
                <w:color w:val="000000"/>
                <w:kern w:val="0"/>
                <w:sz w:val="22"/>
              </w:rPr>
              <w:t>2019</w:t>
            </w:r>
            <w:r>
              <w:rPr>
                <w:rFonts w:ascii="Times New Roman" w:hAnsi="Times New Roman" w:eastAsia="楷体_GB2312" w:cs="Times New Roman"/>
                <w:color w:val="000000"/>
                <w:kern w:val="0"/>
                <w:sz w:val="22"/>
              </w:rPr>
              <w:t>年实施金华</w:t>
            </w:r>
          </w:p>
          <w:p>
            <w:pPr>
              <w:widowControl/>
              <w:ind w:firstLine="624" w:firstLineChars="284"/>
              <w:jc w:val="left"/>
              <w:rPr>
                <w:rFonts w:ascii="Times New Roman" w:hAnsi="Times New Roman" w:eastAsia="Times New Roman" w:cs="Times New Roman"/>
                <w:kern w:val="0"/>
                <w:sz w:val="20"/>
                <w:szCs w:val="20"/>
              </w:rPr>
            </w:pPr>
            <w:r>
              <w:rPr>
                <w:rFonts w:ascii="Times New Roman" w:hAnsi="Times New Roman" w:eastAsia="楷体_GB2312" w:cs="Times New Roman"/>
                <w:color w:val="000000"/>
                <w:kern w:val="0"/>
                <w:sz w:val="22"/>
              </w:rPr>
              <w:t>市级统筹，缴费基数和筹资标准提高，财政补助支出增加。</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440" w:firstLineChars="20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r>
              <w:rPr>
                <w:rFonts w:ascii="Times New Roman" w:hAnsi="Times New Roman" w:eastAsia="楷体_GB2312" w:cs="Times New Roman"/>
                <w:color w:val="000000"/>
                <w:kern w:val="0"/>
                <w:sz w:val="22"/>
              </w:rPr>
              <w:t>节能环保支出增加主要是排污权出让收入由政府性基金转列一般公共预算。</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440" w:firstLineChars="20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r>
              <w:rPr>
                <w:rFonts w:ascii="Times New Roman" w:hAnsi="Times New Roman" w:eastAsia="楷体_GB2312" w:cs="Times New Roman"/>
                <w:color w:val="000000"/>
                <w:kern w:val="0"/>
                <w:sz w:val="22"/>
              </w:rPr>
              <w:t>城乡社区支出增加主要是新增金华引水工程项目资金和金建铁路项目资本金。</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440" w:firstLineChars="200"/>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r>
              <w:rPr>
                <w:rFonts w:ascii="Times New Roman" w:hAnsi="Times New Roman" w:eastAsia="楷体_GB2312" w:cs="Times New Roman"/>
                <w:color w:val="000000"/>
                <w:kern w:val="0"/>
                <w:sz w:val="22"/>
              </w:rPr>
              <w:t>资源勘探信息等支出增加主要是兑现涉企技改奖励政策支出增加及科目调整。</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440" w:firstLineChars="200"/>
              <w:jc w:val="left"/>
              <w:rPr>
                <w:rFonts w:ascii="Times New Roman" w:hAnsi="Times New Roman" w:eastAsia="Times New Roman" w:cs="Times New Roman"/>
                <w:kern w:val="0"/>
                <w:sz w:val="20"/>
                <w:szCs w:val="20"/>
              </w:rPr>
            </w:pPr>
            <w:r>
              <w:rPr>
                <w:rFonts w:ascii="Times New Roman" w:hAnsi="Times New Roman" w:eastAsia="宋体" w:cs="Times New Roman"/>
                <w:color w:val="000000"/>
                <w:kern w:val="0"/>
                <w:sz w:val="22"/>
              </w:rPr>
              <w:t>9.</w:t>
            </w:r>
            <w:r>
              <w:rPr>
                <w:rFonts w:ascii="Times New Roman" w:hAnsi="Times New Roman" w:eastAsia="楷体_GB2312" w:cs="Times New Roman"/>
                <w:color w:val="000000"/>
                <w:kern w:val="0"/>
                <w:sz w:val="22"/>
              </w:rPr>
              <w:t>商业服务业等支出增加主要是兑现奖励政策支出增加。</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330" w:firstLineChars="150"/>
              <w:jc w:val="left"/>
              <w:rPr>
                <w:rFonts w:ascii="Times New Roman" w:hAnsi="Times New Roman" w:eastAsia="Times New Roman" w:cs="Times New Roman"/>
                <w:kern w:val="0"/>
                <w:sz w:val="20"/>
                <w:szCs w:val="20"/>
              </w:rPr>
            </w:pPr>
            <w:r>
              <w:rPr>
                <w:rFonts w:ascii="Times New Roman" w:hAnsi="Times New Roman" w:eastAsia="宋体" w:cs="Times New Roman"/>
                <w:color w:val="000000"/>
                <w:kern w:val="0"/>
                <w:sz w:val="22"/>
              </w:rPr>
              <w:t>10.</w:t>
            </w:r>
            <w:r>
              <w:rPr>
                <w:rFonts w:ascii="Times New Roman" w:hAnsi="Times New Roman" w:eastAsia="楷体_GB2312" w:cs="Times New Roman"/>
                <w:color w:val="000000"/>
                <w:kern w:val="0"/>
                <w:sz w:val="22"/>
              </w:rPr>
              <w:t>自然资源海洋气象等支出增加主要是农房确权支出增加。</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330" w:firstLineChars="150"/>
              <w:jc w:val="left"/>
              <w:rPr>
                <w:rFonts w:ascii="Times New Roman" w:hAnsi="Times New Roman" w:eastAsia="Times New Roman" w:cs="Times New Roman"/>
                <w:kern w:val="0"/>
                <w:sz w:val="20"/>
                <w:szCs w:val="20"/>
              </w:rPr>
            </w:pPr>
            <w:r>
              <w:rPr>
                <w:rFonts w:ascii="Times New Roman" w:hAnsi="Times New Roman" w:eastAsia="楷体_GB2312" w:cs="Times New Roman"/>
                <w:color w:val="000000"/>
                <w:kern w:val="0"/>
                <w:sz w:val="22"/>
              </w:rPr>
              <w:t>11.粮油物资储备支出减少主要是机构改革经费划转。</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330" w:firstLineChars="150"/>
              <w:jc w:val="left"/>
              <w:rPr>
                <w:rFonts w:ascii="Times New Roman" w:hAnsi="Times New Roman" w:eastAsia="Times New Roman" w:cs="Times New Roman"/>
                <w:kern w:val="0"/>
                <w:sz w:val="20"/>
                <w:szCs w:val="20"/>
              </w:rPr>
            </w:pPr>
            <w:r>
              <w:rPr>
                <w:rFonts w:ascii="Times New Roman" w:hAnsi="Times New Roman" w:eastAsia="宋体" w:cs="Times New Roman"/>
                <w:color w:val="000000"/>
                <w:kern w:val="0"/>
                <w:sz w:val="22"/>
              </w:rPr>
              <w:t>1</w:t>
            </w:r>
            <w:r>
              <w:rPr>
                <w:rFonts w:ascii="Times New Roman" w:hAnsi="Times New Roman" w:eastAsia="楷体_GB2312" w:cs="Times New Roman"/>
                <w:color w:val="000000"/>
                <w:kern w:val="0"/>
                <w:sz w:val="22"/>
              </w:rPr>
              <w:t>2</w:t>
            </w:r>
            <w:r>
              <w:rPr>
                <w:rFonts w:ascii="Times New Roman" w:hAnsi="Times New Roman" w:eastAsia="宋体" w:cs="Times New Roman"/>
                <w:color w:val="000000"/>
                <w:kern w:val="0"/>
                <w:sz w:val="22"/>
              </w:rPr>
              <w:t>.</w:t>
            </w:r>
            <w:r>
              <w:rPr>
                <w:rFonts w:ascii="Times New Roman" w:hAnsi="Times New Roman" w:eastAsia="楷体_GB2312" w:cs="Times New Roman"/>
                <w:color w:val="000000"/>
                <w:kern w:val="0"/>
                <w:sz w:val="22"/>
              </w:rPr>
              <w:t>灾害防治及应急管理支出增加主要是机构改革科目调整。</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330" w:firstLineChars="150"/>
              <w:jc w:val="left"/>
              <w:rPr>
                <w:rFonts w:ascii="Times New Roman" w:hAnsi="Times New Roman" w:eastAsia="Times New Roman" w:cs="Times New Roman"/>
                <w:kern w:val="0"/>
                <w:sz w:val="20"/>
                <w:szCs w:val="20"/>
              </w:rPr>
            </w:pPr>
            <w:r>
              <w:rPr>
                <w:rFonts w:ascii="Times New Roman" w:hAnsi="Times New Roman" w:eastAsia="宋体" w:cs="Times New Roman"/>
                <w:color w:val="000000"/>
                <w:kern w:val="0"/>
                <w:sz w:val="22"/>
              </w:rPr>
              <w:t>1</w:t>
            </w:r>
            <w:r>
              <w:rPr>
                <w:rFonts w:ascii="Times New Roman" w:hAnsi="Times New Roman" w:eastAsia="楷体_GB2312" w:cs="Times New Roman"/>
                <w:color w:val="000000"/>
                <w:kern w:val="0"/>
                <w:sz w:val="22"/>
              </w:rPr>
              <w:t>3</w:t>
            </w:r>
            <w:r>
              <w:rPr>
                <w:rFonts w:ascii="Times New Roman" w:hAnsi="Times New Roman" w:eastAsia="宋体" w:cs="Times New Roman"/>
                <w:color w:val="000000"/>
                <w:kern w:val="0"/>
                <w:sz w:val="22"/>
              </w:rPr>
              <w:t>.</w:t>
            </w:r>
            <w:r>
              <w:rPr>
                <w:rFonts w:ascii="Times New Roman" w:hAnsi="Times New Roman" w:eastAsia="楷体_GB2312" w:cs="Times New Roman"/>
                <w:color w:val="000000"/>
                <w:kern w:val="0"/>
                <w:sz w:val="22"/>
              </w:rPr>
              <w:t>其他支出减少主要是机构改革科目调整。</w:t>
            </w:r>
          </w:p>
        </w:tc>
      </w:tr>
      <w:tr>
        <w:tblPrEx>
          <w:tblLayout w:type="fixed"/>
          <w:tblCellMar>
            <w:top w:w="0" w:type="dxa"/>
            <w:left w:w="28" w:type="dxa"/>
            <w:bottom w:w="0" w:type="dxa"/>
            <w:right w:w="28" w:type="dxa"/>
          </w:tblCellMar>
        </w:tblPrEx>
        <w:trPr>
          <w:jc w:val="center"/>
        </w:trPr>
        <w:tc>
          <w:tcPr>
            <w:tcW w:w="9417" w:type="dxa"/>
            <w:shd w:val="clear" w:color="auto" w:fill="auto"/>
            <w:noWrap/>
            <w:vAlign w:val="center"/>
          </w:tcPr>
          <w:p>
            <w:pPr>
              <w:widowControl/>
              <w:spacing w:line="320" w:lineRule="exact"/>
              <w:ind w:firstLine="330" w:firstLineChars="150"/>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14.</w:t>
            </w:r>
            <w:r>
              <w:rPr>
                <w:rFonts w:hint="eastAsia" w:ascii="Times New Roman" w:hAnsi="Times New Roman" w:eastAsia="楷体_GB2312" w:cs="Times New Roman"/>
                <w:color w:val="000000"/>
                <w:kern w:val="0"/>
                <w:sz w:val="22"/>
              </w:rPr>
              <w:t>支出执行数与预算数不一致主要是按实际执行情况进行科目调剂。</w:t>
            </w:r>
          </w:p>
        </w:tc>
      </w:tr>
    </w:tbl>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
    <w:p>
      <w:pPr>
        <w:pStyle w:val="2"/>
        <w:rPr>
          <w:rFonts w:hint="default"/>
        </w:rPr>
      </w:pPr>
    </w:p>
    <w:p>
      <w:pPr>
        <w:jc w:val="center"/>
        <w:rPr>
          <w:rFonts w:hint="eastAsia" w:ascii="方正小标宋简体" w:hAnsi="宋体" w:eastAsia="方正小标宋简体" w:cs="宋体"/>
          <w:kern w:val="0"/>
          <w:sz w:val="44"/>
          <w:szCs w:val="44"/>
        </w:rPr>
      </w:pPr>
    </w:p>
    <w:p>
      <w:pPr>
        <w:jc w:val="center"/>
        <w:rPr>
          <w:rFonts w:hint="eastAsia"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2019年一般公共预算基本支出决算表</w:t>
      </w:r>
    </w:p>
    <w:p>
      <w:pPr>
        <w:spacing w:after="156" w:afterLines="50" w:line="400" w:lineRule="exact"/>
      </w:pPr>
      <w:r>
        <w:rPr>
          <w:rFonts w:hint="eastAsia" w:ascii="楷体_GB2312" w:hAnsi="宋体" w:eastAsia="楷体_GB2312" w:cs="宋体"/>
          <w:kern w:val="0"/>
          <w:sz w:val="24"/>
          <w:szCs w:val="24"/>
        </w:rPr>
        <w:t xml:space="preserve">表三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90"/>
        <w:gridCol w:w="1784"/>
        <w:gridCol w:w="1799"/>
        <w:gridCol w:w="14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tblHeader/>
          <w:jc w:val="center"/>
        </w:trPr>
        <w:tc>
          <w:tcPr>
            <w:tcW w:w="4190"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项    目</w:t>
            </w:r>
          </w:p>
        </w:tc>
        <w:tc>
          <w:tcPr>
            <w:tcW w:w="1784"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2019年决算数</w:t>
            </w:r>
          </w:p>
        </w:tc>
        <w:tc>
          <w:tcPr>
            <w:tcW w:w="1799"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2018年决算数</w:t>
            </w:r>
          </w:p>
        </w:tc>
        <w:tc>
          <w:tcPr>
            <w:tcW w:w="1466"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    计</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177778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171548</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1.机关工资福利支出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69787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66880</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工资奖金津补贴</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51926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45991</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社会保障缴费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7495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8088</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住房公积金</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5694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6202</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其他工资福利支出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4672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6599</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2.机关商品和服务支出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6939</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7804</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办公经费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4414</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4799</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会议费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培训费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138</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专用材料购置费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委托业务费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162</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公务接待费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185</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因公出国（境）费用</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公务用车运行维护费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801</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824</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维修（护）费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145</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其他商品和服务支出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1238</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1397</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3.机关资本性支出（一）</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362.5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设备购置</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大型修缮</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其他资本性支出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4.对事业单位经常性补助</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98325</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93113</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工资福利支出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91983</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86830</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商品和服务支出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6342</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6283</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5.对事业单位资本性补助</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439</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资本性支出（一）</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439</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6.对企业的补助</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其他对企业的补助</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7.对个人和家庭的补助</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2255</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1525</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社会福利和救助</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1779</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1021</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离退休费</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486</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其他对个人和家庭补助</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18</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8.其他支出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1755</w:t>
            </w:r>
          </w:p>
        </w:tc>
        <w:tc>
          <w:tcPr>
            <w:tcW w:w="146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-100.0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1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其他支出</w:t>
            </w:r>
          </w:p>
        </w:tc>
        <w:tc>
          <w:tcPr>
            <w:tcW w:w="1784"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79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1755</w:t>
            </w:r>
          </w:p>
        </w:tc>
        <w:tc>
          <w:tcPr>
            <w:tcW w:w="1466"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bl>
    <w:p/>
    <w:p/>
    <w:p/>
    <w:p/>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
      <w:pPr>
        <w:jc w:val="center"/>
        <w:rPr>
          <w:rFonts w:hint="eastAsia" w:ascii="方正小标宋简体" w:hAnsi="宋体" w:eastAsia="方正小标宋简体" w:cs="宋体"/>
          <w:kern w:val="0"/>
          <w:sz w:val="44"/>
          <w:szCs w:val="44"/>
        </w:rPr>
      </w:pPr>
    </w:p>
    <w:p>
      <w:pPr>
        <w:jc w:val="center"/>
        <w:rPr>
          <w:rFonts w:hint="eastAsia"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2019年一般债务限额与余额情况表</w:t>
      </w:r>
    </w:p>
    <w:p>
      <w:pPr>
        <w:spacing w:after="156" w:afterLines="50" w:line="400" w:lineRule="exact"/>
      </w:pPr>
      <w:r>
        <w:rPr>
          <w:rFonts w:hint="eastAsia" w:ascii="楷体_GB2312" w:hAnsi="宋体" w:eastAsia="楷体_GB2312" w:cs="宋体"/>
          <w:kern w:val="0"/>
          <w:sz w:val="24"/>
          <w:szCs w:val="24"/>
        </w:rPr>
        <w:t xml:space="preserve">表四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46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41"/>
        <w:gridCol w:w="1197"/>
        <w:gridCol w:w="4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8" w:hRule="atLeast"/>
          <w:jc w:val="center"/>
        </w:trPr>
        <w:tc>
          <w:tcPr>
            <w:tcW w:w="414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p>
            <w:pPr>
              <w:widowControl/>
              <w:jc w:val="center"/>
              <w:rPr>
                <w:rFonts w:ascii="黑体" w:hAnsi="黑体" w:eastAsia="黑体" w:cs="宋体"/>
                <w:color w:val="000000"/>
                <w:kern w:val="0"/>
                <w:sz w:val="24"/>
                <w:szCs w:val="24"/>
              </w:rPr>
            </w:pPr>
          </w:p>
        </w:tc>
        <w:tc>
          <w:tcPr>
            <w:tcW w:w="1197"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金  额</w:t>
            </w:r>
          </w:p>
        </w:tc>
        <w:tc>
          <w:tcPr>
            <w:tcW w:w="413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8" w:hRule="atLeast"/>
          <w:jc w:val="center"/>
        </w:trPr>
        <w:tc>
          <w:tcPr>
            <w:tcW w:w="414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一、2018年末地方政府一般债务余额</w:t>
            </w:r>
          </w:p>
        </w:tc>
        <w:tc>
          <w:tcPr>
            <w:tcW w:w="119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150817</w:t>
            </w:r>
          </w:p>
        </w:tc>
        <w:tc>
          <w:tcPr>
            <w:tcW w:w="4131"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8" w:hRule="atLeast"/>
          <w:jc w:val="center"/>
        </w:trPr>
        <w:tc>
          <w:tcPr>
            <w:tcW w:w="414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二、2019年增加地方政府一般债务</w:t>
            </w:r>
          </w:p>
        </w:tc>
        <w:tc>
          <w:tcPr>
            <w:tcW w:w="119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15</w:t>
            </w:r>
            <w:r>
              <w:rPr>
                <w:rFonts w:ascii="Times New Roman" w:hAnsi="Times New Roman" w:eastAsia="宋体" w:cs="Times New Roman"/>
                <w:color w:val="000000"/>
                <w:kern w:val="0"/>
                <w:sz w:val="24"/>
                <w:szCs w:val="24"/>
              </w:rPr>
              <w:t>000</w:t>
            </w:r>
          </w:p>
        </w:tc>
        <w:tc>
          <w:tcPr>
            <w:tcW w:w="413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用于水利支出9000万元，小城镇环境综合整治6000万元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8" w:hRule="atLeast"/>
          <w:jc w:val="center"/>
        </w:trPr>
        <w:tc>
          <w:tcPr>
            <w:tcW w:w="414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三、2019年减少地方政府一般债务</w:t>
            </w:r>
          </w:p>
        </w:tc>
        <w:tc>
          <w:tcPr>
            <w:tcW w:w="119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213</w:t>
            </w:r>
          </w:p>
        </w:tc>
        <w:tc>
          <w:tcPr>
            <w:tcW w:w="413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偿还存量政府债务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9" w:hRule="atLeast"/>
          <w:jc w:val="center"/>
        </w:trPr>
        <w:tc>
          <w:tcPr>
            <w:tcW w:w="414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四、2019年地方政府一般债务余额</w:t>
            </w:r>
          </w:p>
        </w:tc>
        <w:tc>
          <w:tcPr>
            <w:tcW w:w="1197"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165604</w:t>
            </w:r>
          </w:p>
        </w:tc>
        <w:tc>
          <w:tcPr>
            <w:tcW w:w="4131" w:type="dxa"/>
            <w:shd w:val="clear" w:color="auto" w:fill="auto"/>
            <w:vAlign w:val="center"/>
          </w:tcPr>
          <w:p>
            <w:pPr>
              <w:widowControl/>
              <w:jc w:val="left"/>
              <w:rPr>
                <w:rFonts w:ascii="Times New Roman" w:hAnsi="Times New Roman" w:eastAsia="宋体" w:cs="Times New Roman"/>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25" w:hRule="atLeast"/>
          <w:jc w:val="center"/>
        </w:trPr>
        <w:tc>
          <w:tcPr>
            <w:tcW w:w="414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五、2019年末地方政府一般债务限额</w:t>
            </w:r>
          </w:p>
        </w:tc>
        <w:tc>
          <w:tcPr>
            <w:tcW w:w="1197"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165900</w:t>
            </w:r>
          </w:p>
        </w:tc>
        <w:tc>
          <w:tcPr>
            <w:tcW w:w="413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省下达并经市人大常委会批准确定</w:t>
            </w:r>
          </w:p>
        </w:tc>
      </w:tr>
    </w:tbl>
    <w:p/>
    <w:p/>
    <w:p/>
    <w:p/>
    <w:p/>
    <w:p>
      <w:pPr>
        <w:pStyle w:val="2"/>
        <w:rPr>
          <w:rFonts w:hint="default"/>
        </w:rPr>
      </w:pPr>
    </w:p>
    <w:p>
      <w:pPr>
        <w:pStyle w:val="2"/>
        <w:rPr>
          <w:rFonts w:hint="default"/>
        </w:rPr>
      </w:pPr>
    </w:p>
    <w:p>
      <w:pPr>
        <w:pStyle w:val="2"/>
        <w:rPr>
          <w:rFonts w:hint="default"/>
        </w:rPr>
      </w:pPr>
    </w:p>
    <w:p>
      <w:pPr>
        <w:pStyle w:val="2"/>
        <w:rPr>
          <w:rFonts w:hint="default"/>
        </w:rPr>
      </w:pPr>
    </w:p>
    <w:p>
      <w:pPr>
        <w:rPr>
          <w:rFonts w:ascii="方正小标宋简体" w:hAnsi="宋体" w:eastAsia="方正小标宋简体" w:cs="宋体"/>
          <w:kern w:val="0"/>
          <w:sz w:val="44"/>
          <w:szCs w:val="44"/>
        </w:rPr>
      </w:pPr>
    </w:p>
    <w:p>
      <w:pPr>
        <w:jc w:val="center"/>
        <w:rPr>
          <w:rFonts w:hint="eastAsia" w:ascii="方正小标宋简体" w:hAnsi="宋体" w:eastAsia="方正小标宋简体" w:cs="宋体"/>
          <w:kern w:val="0"/>
          <w:sz w:val="44"/>
          <w:szCs w:val="44"/>
        </w:rPr>
      </w:pPr>
    </w:p>
    <w:p>
      <w:pPr>
        <w:jc w:val="center"/>
        <w:rPr>
          <w:rFonts w:hint="eastAsia"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2019年政府性基金收入决算表</w:t>
      </w:r>
    </w:p>
    <w:p>
      <w:pPr>
        <w:spacing w:after="156" w:afterLines="50" w:line="400" w:lineRule="exact"/>
        <w:rPr>
          <w:sz w:val="24"/>
          <w:szCs w:val="24"/>
        </w:rPr>
      </w:pPr>
      <w:r>
        <w:rPr>
          <w:rFonts w:hint="eastAsia" w:ascii="楷体_GB2312" w:hAnsi="宋体" w:eastAsia="楷体_GB2312" w:cs="宋体"/>
          <w:kern w:val="0"/>
          <w:sz w:val="24"/>
          <w:szCs w:val="24"/>
        </w:rPr>
        <w:t xml:space="preserve">表五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49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00"/>
        <w:gridCol w:w="1078"/>
        <w:gridCol w:w="1079"/>
        <w:gridCol w:w="1079"/>
        <w:gridCol w:w="1079"/>
        <w:gridCol w:w="1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4" w:hRule="atLeast"/>
          <w:jc w:val="center"/>
        </w:trPr>
        <w:tc>
          <w:tcPr>
            <w:tcW w:w="4100" w:type="dxa"/>
            <w:shd w:val="clear" w:color="auto" w:fill="auto"/>
            <w:noWrap/>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收  入  科  目</w:t>
            </w:r>
          </w:p>
        </w:tc>
        <w:tc>
          <w:tcPr>
            <w:tcW w:w="1078"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2019年决算数</w:t>
            </w:r>
          </w:p>
        </w:tc>
        <w:tc>
          <w:tcPr>
            <w:tcW w:w="1079"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2019年</w:t>
            </w:r>
          </w:p>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预算数</w:t>
            </w:r>
          </w:p>
        </w:tc>
        <w:tc>
          <w:tcPr>
            <w:tcW w:w="1079"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完成</w:t>
            </w:r>
          </w:p>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预算%</w:t>
            </w:r>
          </w:p>
        </w:tc>
        <w:tc>
          <w:tcPr>
            <w:tcW w:w="1079"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2018年</w:t>
            </w:r>
          </w:p>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决算数</w:t>
            </w:r>
          </w:p>
        </w:tc>
        <w:tc>
          <w:tcPr>
            <w:tcW w:w="1079" w:type="dxa"/>
            <w:shd w:val="clear" w:color="auto" w:fill="auto"/>
            <w:vAlign w:val="center"/>
          </w:tcPr>
          <w:p>
            <w:pPr>
              <w:widowControl/>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比2018年±%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0" w:hRule="atLeast"/>
          <w:jc w:val="center"/>
        </w:trPr>
        <w:tc>
          <w:tcPr>
            <w:tcW w:w="4100" w:type="dxa"/>
            <w:shd w:val="clear" w:color="auto" w:fill="auto"/>
            <w:noWrap/>
            <w:vAlign w:val="center"/>
          </w:tcPr>
          <w:p>
            <w:pPr>
              <w:widowControl/>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一、本级收入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281531</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544390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51.7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263217</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1.新型墙体材料专项基金收入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2.国有土地使用权出让收入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236293</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515000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45.9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222239</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3.国有土地收益基金收入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10099</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24000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42.1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8638</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4.农业土地开发资金收入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508</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50.8 </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562</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5.城市基础设施配套费收入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493</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98.6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918</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6.污水处理费收入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2510</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2800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89.6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2769</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7.彩票公益金收入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775</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590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131.4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612</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8.其他政府性基金收入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30853</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500</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6170.6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27479</w:t>
            </w:r>
          </w:p>
        </w:tc>
        <w:tc>
          <w:tcPr>
            <w:tcW w:w="1079"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二、转移性收入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33811</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42573</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23688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（一）上级转移支付收入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5454</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9000</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10887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noWrap/>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（二）地方政府专项债务转贷收入</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21000</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21000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（三）调入资金</w:t>
            </w:r>
          </w:p>
        </w:tc>
        <w:tc>
          <w:tcPr>
            <w:tcW w:w="1078"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906</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906</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（四）使用结转资金</w:t>
            </w:r>
          </w:p>
        </w:tc>
        <w:tc>
          <w:tcPr>
            <w:tcW w:w="10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6451</w:t>
            </w:r>
          </w:p>
        </w:tc>
        <w:tc>
          <w:tcPr>
            <w:tcW w:w="10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11667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12801　</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4100" w:type="dxa"/>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收入合计</w:t>
            </w:r>
          </w:p>
        </w:tc>
        <w:tc>
          <w:tcPr>
            <w:tcW w:w="1078"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315342</w:t>
            </w:r>
          </w:p>
        </w:tc>
        <w:tc>
          <w:tcPr>
            <w:tcW w:w="1079" w:type="dxa"/>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586963</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9" w:type="dxa"/>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286905</w:t>
            </w:r>
          </w:p>
        </w:tc>
        <w:tc>
          <w:tcPr>
            <w:tcW w:w="1079"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bl>
    <w:p/>
    <w:tbl>
      <w:tblPr>
        <w:tblStyle w:val="10"/>
        <w:tblW w:w="9561" w:type="dxa"/>
        <w:jc w:val="center"/>
        <w:tblInd w:w="0" w:type="dxa"/>
        <w:tblLayout w:type="fixed"/>
        <w:tblCellMar>
          <w:top w:w="0" w:type="dxa"/>
          <w:left w:w="108" w:type="dxa"/>
          <w:bottom w:w="0" w:type="dxa"/>
          <w:right w:w="108" w:type="dxa"/>
        </w:tblCellMar>
      </w:tblPr>
      <w:tblGrid>
        <w:gridCol w:w="9561"/>
      </w:tblGrid>
      <w:tr>
        <w:tblPrEx>
          <w:tblLayout w:type="fixed"/>
          <w:tblCellMar>
            <w:top w:w="0" w:type="dxa"/>
            <w:left w:w="108" w:type="dxa"/>
            <w:bottom w:w="0" w:type="dxa"/>
            <w:right w:w="108" w:type="dxa"/>
          </w:tblCellMar>
        </w:tblPrEx>
        <w:trPr>
          <w:trHeight w:val="315" w:hRule="atLeast"/>
          <w:jc w:val="center"/>
        </w:trPr>
        <w:tc>
          <w:tcPr>
            <w:tcW w:w="9561"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注：1.国有土地收益基金收入增加主要是商业用地计提国有土地收益基金比去年增加。</w:t>
            </w:r>
          </w:p>
        </w:tc>
      </w:tr>
      <w:tr>
        <w:tblPrEx>
          <w:tblLayout w:type="fixed"/>
          <w:tblCellMar>
            <w:top w:w="0" w:type="dxa"/>
            <w:left w:w="108" w:type="dxa"/>
            <w:bottom w:w="0" w:type="dxa"/>
            <w:right w:w="108" w:type="dxa"/>
          </w:tblCellMar>
        </w:tblPrEx>
        <w:trPr>
          <w:trHeight w:val="315" w:hRule="atLeast"/>
          <w:jc w:val="center"/>
        </w:trPr>
        <w:tc>
          <w:tcPr>
            <w:tcW w:w="956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2.农业土地开发资金收入减少主要是今年土地出让面积较上年减少，计提农业土地开发资金相应减少。</w:t>
            </w:r>
          </w:p>
        </w:tc>
      </w:tr>
      <w:tr>
        <w:tblPrEx>
          <w:tblLayout w:type="fixed"/>
          <w:tblCellMar>
            <w:top w:w="0" w:type="dxa"/>
            <w:left w:w="108" w:type="dxa"/>
            <w:bottom w:w="0" w:type="dxa"/>
            <w:right w:w="108" w:type="dxa"/>
          </w:tblCellMar>
        </w:tblPrEx>
        <w:trPr>
          <w:trHeight w:val="315" w:hRule="atLeast"/>
          <w:jc w:val="center"/>
        </w:trPr>
        <w:tc>
          <w:tcPr>
            <w:tcW w:w="956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3.城市基础设施配套费收入减少主要是乡镇街道工业项目规划减少。</w:t>
            </w:r>
          </w:p>
        </w:tc>
      </w:tr>
      <w:tr>
        <w:tblPrEx>
          <w:tblLayout w:type="fixed"/>
          <w:tblCellMar>
            <w:top w:w="0" w:type="dxa"/>
            <w:left w:w="108" w:type="dxa"/>
            <w:bottom w:w="0" w:type="dxa"/>
            <w:right w:w="108" w:type="dxa"/>
          </w:tblCellMar>
        </w:tblPrEx>
        <w:trPr>
          <w:trHeight w:val="300" w:hRule="atLeast"/>
          <w:jc w:val="center"/>
        </w:trPr>
        <w:tc>
          <w:tcPr>
            <w:tcW w:w="956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4.彩票公益金收入增加主要是福利彩票公益金收入增加。</w:t>
            </w:r>
          </w:p>
        </w:tc>
      </w:tr>
      <w:tr>
        <w:tblPrEx>
          <w:tblLayout w:type="fixed"/>
          <w:tblCellMar>
            <w:top w:w="0" w:type="dxa"/>
            <w:left w:w="108" w:type="dxa"/>
            <w:bottom w:w="0" w:type="dxa"/>
            <w:right w:w="108" w:type="dxa"/>
          </w:tblCellMar>
        </w:tblPrEx>
        <w:trPr>
          <w:trHeight w:val="300" w:hRule="atLeast"/>
          <w:jc w:val="center"/>
        </w:trPr>
        <w:tc>
          <w:tcPr>
            <w:tcW w:w="9561"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5.其他政府性基金收入增加主要是土地指标调剂款收入增加。</w:t>
            </w:r>
          </w:p>
        </w:tc>
      </w:tr>
    </w:tbl>
    <w:p/>
    <w:p>
      <w:pPr>
        <w:jc w:val="center"/>
        <w:rPr>
          <w:rFonts w:ascii="方正小标宋简体" w:hAnsi="宋体" w:eastAsia="方正小标宋简体" w:cs="宋体"/>
          <w:kern w:val="0"/>
          <w:sz w:val="44"/>
          <w:szCs w:val="44"/>
        </w:rPr>
      </w:pPr>
      <w:r>
        <w:rPr>
          <w:rFonts w:ascii="方正小标宋简体" w:hAnsi="宋体" w:eastAsia="方正小标宋简体" w:cs="宋体"/>
          <w:kern w:val="0"/>
          <w:sz w:val="44"/>
          <w:szCs w:val="44"/>
        </w:rPr>
        <w:t>2019</w:t>
      </w:r>
      <w:r>
        <w:rPr>
          <w:rFonts w:hint="eastAsia" w:ascii="方正小标宋简体" w:hAnsi="宋体" w:eastAsia="方正小标宋简体" w:cs="宋体"/>
          <w:kern w:val="0"/>
          <w:sz w:val="44"/>
          <w:szCs w:val="44"/>
        </w:rPr>
        <w:t>年政府性基金支出决算表</w:t>
      </w:r>
    </w:p>
    <w:p>
      <w:pPr>
        <w:spacing w:after="156" w:afterLines="50" w:line="400" w:lineRule="exact"/>
      </w:pPr>
      <w:r>
        <w:rPr>
          <w:rFonts w:hint="eastAsia" w:ascii="楷体_GB2312" w:hAnsi="宋体" w:eastAsia="楷体_GB2312" w:cs="宋体"/>
          <w:kern w:val="0"/>
          <w:sz w:val="24"/>
          <w:szCs w:val="24"/>
        </w:rPr>
        <w:t xml:space="preserve">表六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单位：万元</w:t>
      </w:r>
    </w:p>
    <w:tbl>
      <w:tblPr>
        <w:tblStyle w:val="10"/>
        <w:tblW w:w="9953" w:type="dxa"/>
        <w:jc w:val="center"/>
        <w:tblInd w:w="0" w:type="dxa"/>
        <w:tblLayout w:type="fixed"/>
        <w:tblCellMar>
          <w:top w:w="0" w:type="dxa"/>
          <w:left w:w="28" w:type="dxa"/>
          <w:bottom w:w="0" w:type="dxa"/>
          <w:right w:w="28" w:type="dxa"/>
        </w:tblCellMar>
      </w:tblPr>
      <w:tblGrid>
        <w:gridCol w:w="2827"/>
        <w:gridCol w:w="994"/>
        <w:gridCol w:w="979"/>
        <w:gridCol w:w="980"/>
        <w:gridCol w:w="979"/>
        <w:gridCol w:w="980"/>
        <w:gridCol w:w="980"/>
        <w:gridCol w:w="1234"/>
      </w:tblGrid>
      <w:tr>
        <w:tblPrEx>
          <w:tblLayout w:type="fixed"/>
          <w:tblCellMar>
            <w:top w:w="0" w:type="dxa"/>
            <w:left w:w="28" w:type="dxa"/>
            <w:bottom w:w="0" w:type="dxa"/>
            <w:right w:w="28" w:type="dxa"/>
          </w:tblCellMar>
        </w:tblPrEx>
        <w:trPr>
          <w:tblHeader/>
          <w:jc w:val="center"/>
        </w:trPr>
        <w:tc>
          <w:tcPr>
            <w:tcW w:w="2827" w:type="dxa"/>
            <w:vMerge w:val="restart"/>
            <w:tcBorders>
              <w:top w:val="single" w:color="auto" w:sz="12" w:space="0"/>
              <w:left w:val="single" w:color="auto" w:sz="12" w:space="0"/>
              <w:bottom w:val="single" w:color="000000" w:sz="8" w:space="0"/>
              <w:right w:val="single" w:color="auto" w:sz="8" w:space="0"/>
            </w:tcBorders>
            <w:shd w:val="clear" w:color="auto" w:fill="auto"/>
            <w:noWrap/>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支  出  科  目</w:t>
            </w:r>
          </w:p>
        </w:tc>
        <w:tc>
          <w:tcPr>
            <w:tcW w:w="994" w:type="dxa"/>
            <w:vMerge w:val="restart"/>
            <w:tcBorders>
              <w:top w:val="single" w:color="auto" w:sz="12"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2019年决算数</w:t>
            </w:r>
          </w:p>
        </w:tc>
        <w:tc>
          <w:tcPr>
            <w:tcW w:w="4898" w:type="dxa"/>
            <w:gridSpan w:val="5"/>
            <w:tcBorders>
              <w:top w:val="single" w:color="auto" w:sz="12" w:space="0"/>
              <w:left w:val="nil"/>
              <w:bottom w:val="single" w:color="auto" w:sz="8" w:space="0"/>
              <w:right w:val="single" w:color="000000" w:sz="8" w:space="0"/>
            </w:tcBorders>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地方安排的支出</w:t>
            </w:r>
          </w:p>
        </w:tc>
        <w:tc>
          <w:tcPr>
            <w:tcW w:w="1234" w:type="dxa"/>
            <w:vMerge w:val="restart"/>
            <w:tcBorders>
              <w:top w:val="single" w:color="auto" w:sz="12" w:space="0"/>
              <w:left w:val="single" w:color="auto" w:sz="8" w:space="0"/>
              <w:bottom w:val="single" w:color="000000" w:sz="8" w:space="0"/>
              <w:right w:val="single" w:color="auto" w:sz="12" w:space="0"/>
            </w:tcBorders>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上级补助及债券等支出</w:t>
            </w:r>
          </w:p>
        </w:tc>
      </w:tr>
      <w:tr>
        <w:tblPrEx>
          <w:tblLayout w:type="fixed"/>
          <w:tblCellMar>
            <w:top w:w="0" w:type="dxa"/>
            <w:left w:w="28" w:type="dxa"/>
            <w:bottom w:w="0" w:type="dxa"/>
            <w:right w:w="28" w:type="dxa"/>
          </w:tblCellMar>
        </w:tblPrEx>
        <w:trPr>
          <w:tblHeader/>
          <w:jc w:val="center"/>
        </w:trPr>
        <w:tc>
          <w:tcPr>
            <w:tcW w:w="2827" w:type="dxa"/>
            <w:vMerge w:val="continue"/>
            <w:tcBorders>
              <w:top w:val="single" w:color="auto" w:sz="12" w:space="0"/>
              <w:left w:val="single" w:color="auto" w:sz="12" w:space="0"/>
              <w:bottom w:val="single" w:color="000000" w:sz="8" w:space="0"/>
              <w:right w:val="single" w:color="auto" w:sz="8" w:space="0"/>
            </w:tcBorders>
            <w:vAlign w:val="center"/>
          </w:tcPr>
          <w:p>
            <w:pPr>
              <w:widowControl/>
              <w:jc w:val="left"/>
              <w:textAlignment w:val="center"/>
              <w:rPr>
                <w:rFonts w:ascii="黑体" w:hAnsi="黑体" w:eastAsia="黑体" w:cs="Times New Roman"/>
                <w:color w:val="000000"/>
                <w:kern w:val="0"/>
                <w:sz w:val="24"/>
                <w:szCs w:val="24"/>
              </w:rPr>
            </w:pPr>
          </w:p>
        </w:tc>
        <w:tc>
          <w:tcPr>
            <w:tcW w:w="994" w:type="dxa"/>
            <w:vMerge w:val="continue"/>
            <w:tcBorders>
              <w:top w:val="single" w:color="auto" w:sz="12" w:space="0"/>
              <w:left w:val="single" w:color="auto" w:sz="8" w:space="0"/>
              <w:bottom w:val="single" w:color="000000" w:sz="8" w:space="0"/>
              <w:right w:val="single" w:color="auto" w:sz="8" w:space="0"/>
            </w:tcBorders>
            <w:vAlign w:val="center"/>
          </w:tcPr>
          <w:p>
            <w:pPr>
              <w:widowControl/>
              <w:jc w:val="left"/>
              <w:textAlignment w:val="center"/>
              <w:rPr>
                <w:rFonts w:ascii="黑体" w:hAnsi="黑体" w:eastAsia="黑体" w:cs="Times New Roman"/>
                <w:color w:val="000000"/>
                <w:kern w:val="0"/>
                <w:sz w:val="24"/>
                <w:szCs w:val="24"/>
              </w:rPr>
            </w:pPr>
          </w:p>
        </w:tc>
        <w:tc>
          <w:tcPr>
            <w:tcW w:w="979" w:type="dxa"/>
            <w:tcBorders>
              <w:top w:val="nil"/>
              <w:left w:val="single" w:color="auto" w:sz="8" w:space="0"/>
              <w:bottom w:val="single" w:color="000000" w:sz="8" w:space="0"/>
              <w:right w:val="single" w:color="auto" w:sz="4" w:space="0"/>
            </w:tcBorders>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年初</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完成</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2018年</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实绩</w:t>
            </w:r>
          </w:p>
        </w:tc>
        <w:tc>
          <w:tcPr>
            <w:tcW w:w="980" w:type="dxa"/>
            <w:tcBorders>
              <w:top w:val="nil"/>
              <w:left w:val="single" w:color="auto" w:sz="4" w:space="0"/>
              <w:bottom w:val="single" w:color="000000" w:sz="8" w:space="0"/>
              <w:right w:val="single" w:color="auto" w:sz="8" w:space="0"/>
            </w:tcBorders>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比2018年±%</w:t>
            </w:r>
          </w:p>
        </w:tc>
        <w:tc>
          <w:tcPr>
            <w:tcW w:w="1234" w:type="dxa"/>
            <w:vMerge w:val="continue"/>
            <w:tcBorders>
              <w:top w:val="single" w:color="auto" w:sz="12" w:space="0"/>
              <w:left w:val="single" w:color="auto" w:sz="8" w:space="0"/>
              <w:bottom w:val="single" w:color="000000" w:sz="8" w:space="0"/>
              <w:right w:val="single" w:color="auto" w:sz="12" w:space="0"/>
            </w:tcBorders>
            <w:vAlign w:val="center"/>
          </w:tcPr>
          <w:p>
            <w:pPr>
              <w:widowControl/>
              <w:jc w:val="left"/>
              <w:textAlignment w:val="center"/>
              <w:rPr>
                <w:rFonts w:ascii="黑体" w:hAnsi="黑体" w:eastAsia="黑体" w:cs="Times New Roman"/>
                <w:color w:val="000000"/>
                <w:kern w:val="0"/>
                <w:sz w:val="24"/>
                <w:szCs w:val="24"/>
              </w:rPr>
            </w:pPr>
          </w:p>
        </w:tc>
      </w:tr>
      <w:tr>
        <w:tblPrEx>
          <w:tblLayout w:type="fixed"/>
          <w:tblCellMar>
            <w:top w:w="0" w:type="dxa"/>
            <w:left w:w="28" w:type="dxa"/>
            <w:bottom w:w="0" w:type="dxa"/>
            <w:right w:w="28" w:type="dxa"/>
          </w:tblCellMar>
        </w:tblPrEx>
        <w:trPr>
          <w:trHeight w:val="571" w:hRule="atLeast"/>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221905</w:t>
            </w:r>
          </w:p>
        </w:tc>
        <w:tc>
          <w:tcPr>
            <w:tcW w:w="979" w:type="dxa"/>
            <w:tcBorders>
              <w:top w:val="nil"/>
              <w:left w:val="nil"/>
              <w:bottom w:val="single" w:color="auto" w:sz="8" w:space="0"/>
              <w:right w:val="single" w:color="auto"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hint="eastAsia" w:ascii="Times New Roman" w:hAnsi="Times New Roman" w:eastAsia="等线" w:cs="Times New Roman"/>
                <w:color w:val="000000"/>
                <w:kern w:val="0"/>
                <w:sz w:val="24"/>
                <w:szCs w:val="24"/>
              </w:rPr>
              <w:t>216964</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453502</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47.</w:t>
            </w:r>
            <w:r>
              <w:rPr>
                <w:rFonts w:hint="eastAsia" w:ascii="Times New Roman" w:hAnsi="Times New Roman" w:eastAsia="等线" w:cs="Times New Roman"/>
                <w:color w:val="000000"/>
                <w:kern w:val="0"/>
                <w:sz w:val="24"/>
                <w:szCs w:val="24"/>
              </w:rPr>
              <w:t>8</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227978</w:t>
            </w:r>
          </w:p>
        </w:tc>
        <w:tc>
          <w:tcPr>
            <w:tcW w:w="980" w:type="dxa"/>
            <w:tcBorders>
              <w:top w:val="nil"/>
              <w:left w:val="single" w:color="auto" w:sz="4" w:space="0"/>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-4.8</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4941</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r>
              <w:rPr>
                <w:rFonts w:ascii="Times New Roman" w:hAnsi="Times New Roman" w:eastAsia="宋体" w:cs="Times New Roman"/>
                <w:color w:val="000000"/>
                <w:kern w:val="0"/>
                <w:sz w:val="24"/>
                <w:szCs w:val="24"/>
              </w:rPr>
              <w:t>社会保障和就业支出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3066</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single" w:color="auto" w:sz="4" w:space="0"/>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single" w:color="auto" w:sz="4" w:space="0"/>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single" w:color="auto" w:sz="4" w:space="0"/>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3066</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大中型水库移民后期扶持基金支出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2591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2591</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移民补助</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2392</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2392</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基础设施建设和经济发展</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w:t>
            </w:r>
            <w:r>
              <w:rPr>
                <w:rFonts w:hint="eastAsia" w:ascii="Times New Roman" w:hAnsi="Times New Roman" w:eastAsia="等线" w:cs="Times New Roman"/>
                <w:color w:val="000000"/>
                <w:kern w:val="0"/>
                <w:sz w:val="24"/>
                <w:szCs w:val="24"/>
              </w:rPr>
              <w:t>9</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w:t>
            </w:r>
            <w:r>
              <w:rPr>
                <w:rFonts w:hint="eastAsia" w:ascii="Times New Roman" w:hAnsi="Times New Roman" w:eastAsia="等线" w:cs="Times New Roman"/>
                <w:color w:val="000000"/>
                <w:kern w:val="0"/>
                <w:sz w:val="24"/>
                <w:szCs w:val="24"/>
              </w:rPr>
              <w:t>9</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小型水库移民扶助基金及对应专项债务收入安排的支出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475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475</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基础设施建设和经济发展</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475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475</w:t>
            </w:r>
          </w:p>
        </w:tc>
      </w:tr>
      <w:tr>
        <w:tblPrEx>
          <w:tblLayout w:type="fixed"/>
          <w:tblCellMar>
            <w:top w:w="0" w:type="dxa"/>
            <w:left w:w="28" w:type="dxa"/>
            <w:bottom w:w="0" w:type="dxa"/>
            <w:right w:w="28" w:type="dxa"/>
          </w:tblCellMar>
        </w:tblPrEx>
        <w:trPr>
          <w:trHeight w:val="585" w:hRule="atLeast"/>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r>
              <w:rPr>
                <w:rFonts w:ascii="Times New Roman" w:hAnsi="Times New Roman" w:eastAsia="宋体" w:cs="Times New Roman"/>
                <w:color w:val="000000"/>
                <w:kern w:val="0"/>
                <w:sz w:val="24"/>
                <w:szCs w:val="24"/>
              </w:rPr>
              <w:t>城乡社区支出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191834</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1918</w:t>
            </w:r>
            <w:r>
              <w:rPr>
                <w:rFonts w:hint="eastAsia" w:ascii="Times New Roman" w:hAnsi="Times New Roman" w:eastAsia="等线" w:cs="Times New Roman"/>
                <w:color w:val="000000"/>
                <w:kern w:val="0"/>
                <w:sz w:val="24"/>
                <w:szCs w:val="24"/>
              </w:rPr>
              <w:t>16</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441331</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43.5</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204499</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-6.2</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国有土地使用权出让收入及对应专项债务收入安排的支出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182841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182841</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413775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44.2</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196030</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征地和拆迁补偿支出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8100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8100</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60000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13.5</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24899</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土地开发支出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44039</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44039</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130000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33.9</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64157</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城市建设支出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25220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25220</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20675</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122</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8227</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trHeight w:val="738" w:hRule="atLeast"/>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农村基础设施建设支出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2763</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2763</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33080</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8.4</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9751</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补助被征地农民支出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40067</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40067</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80000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50.1</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42571</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土地出让业务支出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3472</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3472</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3150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110.2</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2592</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廉租住房支出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1114</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1114</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12000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9.3</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4412</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trHeight w:val="584" w:hRule="atLeast"/>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支付破产或改制企业职工安置费</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48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棚户区改造支出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48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57988</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57988</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73095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79.3</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37947</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300" w:lineRule="exac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其他国有土地使用权出让收入安排的支出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78</w:t>
            </w:r>
          </w:p>
        </w:tc>
        <w:tc>
          <w:tcPr>
            <w:tcW w:w="979"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78</w:t>
            </w:r>
          </w:p>
        </w:tc>
        <w:tc>
          <w:tcPr>
            <w:tcW w:w="980"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1775</w:t>
            </w:r>
          </w:p>
        </w:tc>
        <w:tc>
          <w:tcPr>
            <w:tcW w:w="979"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4.4</w:t>
            </w:r>
          </w:p>
        </w:tc>
        <w:tc>
          <w:tcPr>
            <w:tcW w:w="980"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1474</w:t>
            </w:r>
          </w:p>
        </w:tc>
        <w:tc>
          <w:tcPr>
            <w:tcW w:w="980"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300" w:lineRule="exact"/>
              <w:textAlignment w:val="center"/>
              <w:rPr>
                <w:rFonts w:ascii="Times New Roman" w:hAnsi="Times New Roman" w:eastAsia="等线" w:cs="Times New Roman"/>
                <w:color w:val="000000"/>
                <w:spacing w:val="-8"/>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spacing w:val="-8"/>
                <w:kern w:val="0"/>
                <w:sz w:val="24"/>
                <w:szCs w:val="24"/>
              </w:rPr>
              <w:t>国有土地收益基金及对应专项债务收入安排的支出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5642</w:t>
            </w:r>
          </w:p>
        </w:tc>
        <w:tc>
          <w:tcPr>
            <w:tcW w:w="979"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5642</w:t>
            </w:r>
          </w:p>
        </w:tc>
        <w:tc>
          <w:tcPr>
            <w:tcW w:w="980"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24000</w:t>
            </w:r>
          </w:p>
        </w:tc>
        <w:tc>
          <w:tcPr>
            <w:tcW w:w="979"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23.5</w:t>
            </w:r>
          </w:p>
        </w:tc>
        <w:tc>
          <w:tcPr>
            <w:tcW w:w="980"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5775</w:t>
            </w:r>
          </w:p>
        </w:tc>
        <w:tc>
          <w:tcPr>
            <w:tcW w:w="980" w:type="dxa"/>
            <w:tcBorders>
              <w:top w:val="nil"/>
              <w:left w:val="nil"/>
              <w:bottom w:val="single" w:color="auto" w:sz="8" w:space="0"/>
              <w:right w:val="single" w:color="auto" w:sz="8"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3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征地和拆迁补偿支出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土地开发支出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5642</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5642</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24000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23.5</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5738</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其他国有土地收益基金支出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37</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农业土地开发资金及对应专项债务收入安排的支出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城市基础设施配套费及对应专项债务收入安排的支出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504</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504</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556</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90.6</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494</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其他城市基础设施配套费安排的支出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504</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504</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556</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90.6</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494</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污水处理费及对应专项债务收入安排的支出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2829</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2829</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3000</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94.3</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2200</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污水处理设施建设和运营</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2772</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2772</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2900</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95.6</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2170</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代征手续费</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30</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r>
              <w:rPr>
                <w:rFonts w:ascii="Times New Roman" w:hAnsi="Times New Roman" w:eastAsia="宋体" w:cs="Times New Roman"/>
                <w:color w:val="000000"/>
                <w:kern w:val="0"/>
                <w:sz w:val="24"/>
                <w:szCs w:val="24"/>
              </w:rPr>
              <w:t>农林水支出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大中型水库库区基金及对应专项债务收入安排的支出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w:t>
            </w:r>
          </w:p>
        </w:tc>
        <w:tc>
          <w:tcPr>
            <w:tcW w:w="979" w:type="dxa"/>
            <w:tcBorders>
              <w:top w:val="nil"/>
              <w:left w:val="nil"/>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基础设施建设和经济发展</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41</w:t>
            </w:r>
          </w:p>
        </w:tc>
        <w:tc>
          <w:tcPr>
            <w:tcW w:w="979" w:type="dxa"/>
            <w:tcBorders>
              <w:top w:val="nil"/>
              <w:left w:val="nil"/>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41</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其他大中型水库库区基金支出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79" w:type="dxa"/>
            <w:tcBorders>
              <w:top w:val="nil"/>
              <w:left w:val="nil"/>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r>
              <w:rPr>
                <w:rFonts w:ascii="Times New Roman" w:hAnsi="Times New Roman" w:eastAsia="宋体" w:cs="Times New Roman"/>
                <w:color w:val="000000"/>
                <w:kern w:val="0"/>
                <w:sz w:val="24"/>
                <w:szCs w:val="24"/>
              </w:rPr>
              <w:t>其他支出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15733</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13942</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946</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1473.8</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12613</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10.5</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1791</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其他政府性基金及对应专项债务收入安排的支出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13442</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13442</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371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3623.2</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12345</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彩票公益金及对应专项债务收入安排的支出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2291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500</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87</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268</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1791</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用于社会福利的彩票公益金支出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1562</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299</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350</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85.4</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83</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1263</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用于体育事业的彩票公益金支出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481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201</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89.3</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185</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280</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用于教育事业的彩票公益金支出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34</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34</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用于残疾人事业的彩票公益金支出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201</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用于城乡医疗救助的彩票公益金支出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r>
              <w:rPr>
                <w:rFonts w:ascii="Times New Roman" w:hAnsi="Times New Roman" w:eastAsia="宋体" w:cs="Times New Roman"/>
                <w:color w:val="000000"/>
                <w:kern w:val="0"/>
                <w:sz w:val="24"/>
                <w:szCs w:val="24"/>
              </w:rPr>
              <w:t>债务付息支出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11181</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11181</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11200</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99.8</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10865</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2.9</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地方政府专项债务付息支出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11181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11181</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11200</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99.8</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10865</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国有土地使用权出让金债务付息支出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11181</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11181</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11200</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99.8</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10865</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r>
              <w:rPr>
                <w:rFonts w:ascii="Times New Roman" w:hAnsi="Times New Roman" w:eastAsia="宋体" w:cs="Times New Roman"/>
                <w:color w:val="000000"/>
                <w:kern w:val="0"/>
                <w:sz w:val="24"/>
                <w:szCs w:val="24"/>
              </w:rPr>
              <w:t>债务发行费用支出</w:t>
            </w:r>
            <w:r>
              <w:rPr>
                <w:rFonts w:ascii="Times New Roman" w:hAnsi="Times New Roman" w:eastAsia="等线" w:cs="Times New Roman"/>
                <w:color w:val="000000"/>
                <w:kern w:val="0"/>
                <w:sz w:val="24"/>
                <w:szCs w:val="24"/>
              </w:rPr>
              <w:t xml:space="preserve">                                                                                                                                                                                                                                                     </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100</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2400</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地方政府专项债务发行费用支出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100</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jc w:val="left"/>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ascii="Times New Roman" w:hAnsi="Times New Roman" w:eastAsia="宋体" w:cs="Times New Roman"/>
                <w:color w:val="000000"/>
                <w:kern w:val="0"/>
                <w:sz w:val="24"/>
                <w:szCs w:val="24"/>
              </w:rPr>
              <w:t>国有土地使用权出让金债务发行费用支出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100</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二、转移性支出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93437</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（一）调出资金</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65045</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（二）地方政府专项债务还本支出</w:t>
            </w:r>
          </w:p>
        </w:tc>
        <w:tc>
          <w:tcPr>
            <w:tcW w:w="994"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21906</w:t>
            </w:r>
          </w:p>
        </w:tc>
        <w:tc>
          <w:tcPr>
            <w:tcW w:w="979" w:type="dxa"/>
            <w:tcBorders>
              <w:top w:val="nil"/>
              <w:left w:val="nil"/>
              <w:bottom w:val="single" w:color="auto" w:sz="8" w:space="0"/>
              <w:right w:val="single" w:color="auto" w:sz="8" w:space="0"/>
            </w:tcBorders>
            <w:shd w:val="clear" w:color="auto" w:fill="auto"/>
            <w:vAlign w:val="center"/>
          </w:tcPr>
          <w:p>
            <w:pPr>
              <w:widowControl/>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（三）结转下年支出</w:t>
            </w:r>
          </w:p>
        </w:tc>
        <w:tc>
          <w:tcPr>
            <w:tcW w:w="994"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6486</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8"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8"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r>
        <w:tblPrEx>
          <w:tblLayout w:type="fixed"/>
          <w:tblCellMar>
            <w:top w:w="0" w:type="dxa"/>
            <w:left w:w="28" w:type="dxa"/>
            <w:bottom w:w="0" w:type="dxa"/>
            <w:right w:w="28" w:type="dxa"/>
          </w:tblCellMar>
        </w:tblPrEx>
        <w:trPr>
          <w:jc w:val="center"/>
        </w:trPr>
        <w:tc>
          <w:tcPr>
            <w:tcW w:w="2827" w:type="dxa"/>
            <w:tcBorders>
              <w:top w:val="nil"/>
              <w:left w:val="single" w:color="auto" w:sz="12" w:space="0"/>
              <w:bottom w:val="single" w:color="auto" w:sz="12"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支出合计</w:t>
            </w:r>
          </w:p>
        </w:tc>
        <w:tc>
          <w:tcPr>
            <w:tcW w:w="994" w:type="dxa"/>
            <w:tcBorders>
              <w:top w:val="nil"/>
              <w:left w:val="nil"/>
              <w:bottom w:val="single" w:color="auto" w:sz="12"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315342</w:t>
            </w:r>
          </w:p>
        </w:tc>
        <w:tc>
          <w:tcPr>
            <w:tcW w:w="979" w:type="dxa"/>
            <w:tcBorders>
              <w:top w:val="nil"/>
              <w:left w:val="nil"/>
              <w:bottom w:val="single" w:color="auto" w:sz="12" w:space="0"/>
              <w:right w:val="single" w:color="auto" w:sz="8" w:space="0"/>
            </w:tcBorders>
            <w:shd w:val="clear" w:color="auto" w:fill="auto"/>
            <w:vAlign w:val="center"/>
          </w:tcPr>
          <w:p>
            <w:pPr>
              <w:widowControl/>
              <w:spacing w:line="500" w:lineRule="exact"/>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12"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79" w:type="dxa"/>
            <w:tcBorders>
              <w:top w:val="nil"/>
              <w:left w:val="nil"/>
              <w:bottom w:val="single" w:color="auto" w:sz="12"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12"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980" w:type="dxa"/>
            <w:tcBorders>
              <w:top w:val="nil"/>
              <w:left w:val="nil"/>
              <w:bottom w:val="single" w:color="auto" w:sz="12" w:space="0"/>
              <w:right w:val="single" w:color="auto" w:sz="8"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c>
          <w:tcPr>
            <w:tcW w:w="1234" w:type="dxa"/>
            <w:tcBorders>
              <w:top w:val="nil"/>
              <w:left w:val="nil"/>
              <w:bottom w:val="single" w:color="auto" w:sz="12" w:space="0"/>
              <w:right w:val="single" w:color="auto" w:sz="12" w:space="0"/>
            </w:tcBorders>
            <w:shd w:val="clear" w:color="auto" w:fill="auto"/>
            <w:vAlign w:val="center"/>
          </w:tcPr>
          <w:p>
            <w:pPr>
              <w:widowControl/>
              <w:spacing w:line="500" w:lineRule="exact"/>
              <w:jc w:val="center"/>
              <w:textAlignment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　</w:t>
            </w:r>
          </w:p>
        </w:tc>
      </w:tr>
    </w:tbl>
    <w:p>
      <w:pPr>
        <w:pStyle w:val="2"/>
        <w:rPr>
          <w:rFonts w:hint="default"/>
        </w:rPr>
      </w:pPr>
    </w:p>
    <w:tbl>
      <w:tblPr>
        <w:tblStyle w:val="10"/>
        <w:tblW w:w="9416" w:type="dxa"/>
        <w:jc w:val="center"/>
        <w:tblInd w:w="0" w:type="dxa"/>
        <w:tblLayout w:type="fixed"/>
        <w:tblCellMar>
          <w:top w:w="0" w:type="dxa"/>
          <w:left w:w="108" w:type="dxa"/>
          <w:bottom w:w="0" w:type="dxa"/>
          <w:right w:w="108" w:type="dxa"/>
        </w:tblCellMar>
      </w:tblPr>
      <w:tblGrid>
        <w:gridCol w:w="9416"/>
      </w:tblGrid>
      <w:tr>
        <w:tblPrEx>
          <w:tblLayout w:type="fixed"/>
          <w:tblCellMar>
            <w:top w:w="0" w:type="dxa"/>
            <w:left w:w="108" w:type="dxa"/>
            <w:bottom w:w="0" w:type="dxa"/>
            <w:right w:w="108" w:type="dxa"/>
          </w:tblCellMar>
        </w:tblPrEx>
        <w:trPr>
          <w:trHeight w:val="576" w:hRule="atLeast"/>
          <w:jc w:val="center"/>
        </w:trPr>
        <w:tc>
          <w:tcPr>
            <w:tcW w:w="9416"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注：1.城乡社区支出减少主要是部分地块未完成结算，暂未返还征地拆迁补偿和补助净收益。</w:t>
            </w:r>
          </w:p>
        </w:tc>
      </w:tr>
      <w:tr>
        <w:tblPrEx>
          <w:tblLayout w:type="fixed"/>
          <w:tblCellMar>
            <w:top w:w="0" w:type="dxa"/>
            <w:left w:w="108" w:type="dxa"/>
            <w:bottom w:w="0" w:type="dxa"/>
            <w:right w:w="108" w:type="dxa"/>
          </w:tblCellMar>
        </w:tblPrEx>
        <w:trPr>
          <w:trHeight w:val="327" w:hRule="atLeast"/>
          <w:jc w:val="center"/>
        </w:trPr>
        <w:tc>
          <w:tcPr>
            <w:tcW w:w="9416" w:type="dxa"/>
            <w:tcBorders>
              <w:top w:val="nil"/>
              <w:left w:val="nil"/>
              <w:bottom w:val="nil"/>
              <w:right w:val="nil"/>
            </w:tcBorders>
            <w:shd w:val="clear" w:color="auto" w:fill="auto"/>
            <w:vAlign w:val="center"/>
          </w:tcPr>
          <w:p>
            <w:pPr>
              <w:widowControl/>
              <w:ind w:firstLine="497" w:firstLineChars="226"/>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2.其他政府性基金及对应专项债务收入安排的支出增加主要是土地综合整治支出增加。</w:t>
            </w:r>
          </w:p>
        </w:tc>
      </w:tr>
    </w:tbl>
    <w:p/>
    <w:p>
      <w:pPr>
        <w:jc w:val="center"/>
        <w:rPr>
          <w:rFonts w:ascii="方正小标宋简体" w:hAnsi="宋体" w:eastAsia="方正小标宋简体" w:cs="宋体"/>
          <w:kern w:val="0"/>
          <w:sz w:val="44"/>
          <w:szCs w:val="44"/>
        </w:rPr>
      </w:pPr>
    </w:p>
    <w:p>
      <w:pPr>
        <w:pStyle w:val="2"/>
        <w:rPr>
          <w:rFonts w:hint="default"/>
        </w:rPr>
      </w:pPr>
    </w:p>
    <w:p>
      <w:pPr>
        <w:pStyle w:val="2"/>
        <w:rPr>
          <w:rFonts w:hint="default"/>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ascii="方正小标宋简体" w:hAnsi="宋体" w:eastAsia="方正小标宋简体" w:cs="宋体"/>
          <w:kern w:val="0"/>
          <w:sz w:val="44"/>
          <w:szCs w:val="44"/>
        </w:rPr>
        <w:t>2019</w:t>
      </w:r>
      <w:r>
        <w:rPr>
          <w:rFonts w:hint="eastAsia" w:ascii="方正小标宋简体" w:hAnsi="宋体" w:eastAsia="方正小标宋简体" w:cs="宋体"/>
          <w:kern w:val="0"/>
          <w:sz w:val="44"/>
          <w:szCs w:val="44"/>
        </w:rPr>
        <w:t>年专项债务限额与余额情况表</w:t>
      </w:r>
    </w:p>
    <w:p>
      <w:pPr>
        <w:spacing w:after="156" w:afterLines="50" w:line="400" w:lineRule="exact"/>
        <w:rPr>
          <w:sz w:val="24"/>
          <w:szCs w:val="24"/>
        </w:rPr>
      </w:pPr>
      <w:r>
        <w:rPr>
          <w:rFonts w:hint="eastAsia" w:ascii="楷体_GB2312" w:hAnsi="宋体" w:eastAsia="楷体_GB2312" w:cs="宋体"/>
          <w:kern w:val="0"/>
          <w:sz w:val="24"/>
          <w:szCs w:val="24"/>
        </w:rPr>
        <w:t xml:space="preserve">表七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4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91"/>
        <w:gridCol w:w="3426"/>
        <w:gridCol w:w="22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3" w:hRule="atLeast"/>
          <w:jc w:val="center"/>
        </w:trPr>
        <w:tc>
          <w:tcPr>
            <w:tcW w:w="3791"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3426"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金  额</w:t>
            </w:r>
          </w:p>
        </w:tc>
        <w:tc>
          <w:tcPr>
            <w:tcW w:w="227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1" w:hRule="atLeast"/>
          <w:jc w:val="center"/>
        </w:trPr>
        <w:tc>
          <w:tcPr>
            <w:tcW w:w="379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一、2018年末地方政府专项债务余额</w:t>
            </w:r>
          </w:p>
        </w:tc>
        <w:tc>
          <w:tcPr>
            <w:tcW w:w="342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338172</w:t>
            </w:r>
          </w:p>
        </w:tc>
        <w:tc>
          <w:tcPr>
            <w:tcW w:w="22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1" w:hRule="atLeast"/>
          <w:jc w:val="center"/>
        </w:trPr>
        <w:tc>
          <w:tcPr>
            <w:tcW w:w="379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二、2019年减少地方政府一般债务</w:t>
            </w:r>
          </w:p>
        </w:tc>
        <w:tc>
          <w:tcPr>
            <w:tcW w:w="342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1177</w:t>
            </w:r>
          </w:p>
        </w:tc>
        <w:tc>
          <w:tcPr>
            <w:tcW w:w="22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偿还存量政府债务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2" w:hRule="atLeast"/>
          <w:jc w:val="center"/>
        </w:trPr>
        <w:tc>
          <w:tcPr>
            <w:tcW w:w="379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三、2019年地方政府一般债务余额</w:t>
            </w:r>
          </w:p>
        </w:tc>
        <w:tc>
          <w:tcPr>
            <w:tcW w:w="3426"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336995</w:t>
            </w:r>
          </w:p>
        </w:tc>
        <w:tc>
          <w:tcPr>
            <w:tcW w:w="2278"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1" w:hRule="atLeast"/>
          <w:jc w:val="center"/>
        </w:trPr>
        <w:tc>
          <w:tcPr>
            <w:tcW w:w="3791"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四、2019年末地方政府一般债务限额</w:t>
            </w:r>
          </w:p>
        </w:tc>
        <w:tc>
          <w:tcPr>
            <w:tcW w:w="3426" w:type="dxa"/>
            <w:shd w:val="clear" w:color="auto" w:fill="auto"/>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338400</w:t>
            </w:r>
          </w:p>
        </w:tc>
        <w:tc>
          <w:tcPr>
            <w:tcW w:w="2278" w:type="dxa"/>
            <w:shd w:val="clear" w:color="auto" w:fill="auto"/>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省下达并经市人大常委会批准确定</w:t>
            </w:r>
          </w:p>
        </w:tc>
      </w:tr>
    </w:tbl>
    <w:p/>
    <w:p/>
    <w:p/>
    <w:p/>
    <w:p>
      <w:pP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jc w:val="center"/>
        <w:rPr>
          <w:rFonts w:hint="eastAsia" w:ascii="方正小标宋简体" w:hAnsi="宋体" w:eastAsia="方正小标宋简体" w:cs="宋体"/>
          <w:kern w:val="0"/>
          <w:sz w:val="44"/>
          <w:szCs w:val="44"/>
        </w:rPr>
      </w:pPr>
    </w:p>
    <w:p>
      <w:pPr>
        <w:jc w:val="center"/>
        <w:rPr>
          <w:rFonts w:hint="eastAsia"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2019年国有资本经营预算收支决算表</w:t>
      </w:r>
    </w:p>
    <w:p>
      <w:pPr>
        <w:spacing w:after="156" w:afterLines="50" w:line="400" w:lineRule="exact"/>
        <w:rPr>
          <w:sz w:val="24"/>
          <w:szCs w:val="24"/>
        </w:rPr>
      </w:pPr>
      <w:r>
        <w:rPr>
          <w:rFonts w:hint="eastAsia" w:ascii="楷体_GB2312" w:hAnsi="宋体" w:eastAsia="楷体_GB2312" w:cs="宋体"/>
          <w:kern w:val="0"/>
          <w:sz w:val="24"/>
          <w:szCs w:val="24"/>
        </w:rPr>
        <w:t>表八</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742" w:type="dxa"/>
        <w:tblInd w:w="-2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681"/>
        <w:gridCol w:w="1010"/>
        <w:gridCol w:w="1010"/>
        <w:gridCol w:w="1010"/>
        <w:gridCol w:w="941"/>
        <w:gridCol w:w="939"/>
        <w:gridCol w:w="11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7" w:hRule="atLeast"/>
        </w:trPr>
        <w:tc>
          <w:tcPr>
            <w:tcW w:w="3681" w:type="dxa"/>
            <w:shd w:val="clear" w:color="auto" w:fill="auto"/>
            <w:noWrap/>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       目</w:t>
            </w:r>
          </w:p>
        </w:tc>
        <w:tc>
          <w:tcPr>
            <w:tcW w:w="1010"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年决算</w:t>
            </w:r>
          </w:p>
        </w:tc>
        <w:tc>
          <w:tcPr>
            <w:tcW w:w="1010"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年预算数</w:t>
            </w:r>
          </w:p>
        </w:tc>
        <w:tc>
          <w:tcPr>
            <w:tcW w:w="1010"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年调整</w:t>
            </w:r>
          </w:p>
          <w:p>
            <w:pPr>
              <w:widowControl/>
              <w:jc w:val="center"/>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预算数</w:t>
            </w:r>
          </w:p>
        </w:tc>
        <w:tc>
          <w:tcPr>
            <w:tcW w:w="941"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完成调整预算%</w:t>
            </w:r>
          </w:p>
        </w:tc>
        <w:tc>
          <w:tcPr>
            <w:tcW w:w="939"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2018</w:t>
            </w:r>
            <w:r>
              <w:rPr>
                <w:rFonts w:hint="eastAsia" w:ascii="黑体" w:hAnsi="黑体" w:eastAsia="黑体" w:cs="Times New Roman"/>
                <w:color w:val="000000"/>
                <w:kern w:val="0"/>
                <w:sz w:val="24"/>
                <w:szCs w:val="24"/>
              </w:rPr>
              <w:t>年执行数</w:t>
            </w:r>
          </w:p>
        </w:tc>
        <w:tc>
          <w:tcPr>
            <w:tcW w:w="1151"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国有资本经营预算收入</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2136</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5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1.</w:t>
            </w:r>
            <w:r>
              <w:rPr>
                <w:rFonts w:hint="eastAsia" w:ascii="宋体" w:hAnsi="宋体" w:eastAsia="宋体" w:cs="Times New Roman"/>
                <w:color w:val="000000"/>
                <w:kern w:val="0"/>
                <w:sz w:val="24"/>
                <w:szCs w:val="24"/>
              </w:rPr>
              <w:t>利润收入</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2116</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2.</w:t>
            </w:r>
            <w:r>
              <w:rPr>
                <w:rFonts w:hint="eastAsia" w:ascii="宋体" w:hAnsi="宋体" w:eastAsia="宋体" w:cs="Times New Roman"/>
                <w:color w:val="000000"/>
                <w:kern w:val="0"/>
                <w:sz w:val="24"/>
                <w:szCs w:val="24"/>
              </w:rPr>
              <w:t>股利、股息收入</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3.</w:t>
            </w:r>
            <w:r>
              <w:rPr>
                <w:rFonts w:hint="eastAsia" w:ascii="宋体" w:hAnsi="宋体" w:eastAsia="宋体" w:cs="Times New Roman"/>
                <w:color w:val="000000"/>
                <w:kern w:val="0"/>
                <w:sz w:val="24"/>
                <w:szCs w:val="24"/>
              </w:rPr>
              <w:t>产权转让收入</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4.</w:t>
            </w:r>
            <w:r>
              <w:rPr>
                <w:rFonts w:hint="eastAsia" w:ascii="宋体" w:hAnsi="宋体" w:eastAsia="宋体" w:cs="Times New Roman"/>
                <w:color w:val="000000"/>
                <w:kern w:val="0"/>
                <w:sz w:val="24"/>
                <w:szCs w:val="24"/>
              </w:rPr>
              <w:t>清算收入</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5.</w:t>
            </w:r>
            <w:r>
              <w:rPr>
                <w:rFonts w:hint="eastAsia" w:ascii="宋体" w:hAnsi="宋体" w:eastAsia="宋体" w:cs="Times New Roman"/>
                <w:color w:val="000000"/>
                <w:kern w:val="0"/>
                <w:sz w:val="24"/>
                <w:szCs w:val="24"/>
              </w:rPr>
              <w:t>其他国有资本经营预算收入</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国有资本经营预算收入合计</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（一）国有资本经营预算支出</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1.</w:t>
            </w:r>
            <w:r>
              <w:rPr>
                <w:rFonts w:hint="eastAsia" w:ascii="宋体" w:hAnsi="宋体" w:eastAsia="宋体" w:cs="Times New Roman"/>
                <w:color w:val="000000"/>
                <w:kern w:val="0"/>
                <w:sz w:val="24"/>
                <w:szCs w:val="24"/>
              </w:rPr>
              <w:t>解决历史遗留问题及改革成本支出</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国有企业办职教幼教补助支出</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其他解决历史遗留问题及改革成本支出</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2.</w:t>
            </w:r>
            <w:r>
              <w:rPr>
                <w:rFonts w:hint="eastAsia" w:ascii="宋体" w:hAnsi="宋体" w:eastAsia="宋体" w:cs="Times New Roman"/>
                <w:color w:val="000000"/>
                <w:kern w:val="0"/>
                <w:sz w:val="24"/>
                <w:szCs w:val="24"/>
              </w:rPr>
              <w:t>国有企业资本金注入</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3.</w:t>
            </w:r>
            <w:r>
              <w:rPr>
                <w:rFonts w:hint="eastAsia" w:ascii="宋体" w:hAnsi="宋体" w:eastAsia="宋体" w:cs="Times New Roman"/>
                <w:color w:val="000000"/>
                <w:kern w:val="0"/>
                <w:sz w:val="24"/>
                <w:szCs w:val="24"/>
              </w:rPr>
              <w:t>其他国有资本经营预算支出</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（二）转移性支出</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国有资本经营预算调出资金</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trPr>
        <w:tc>
          <w:tcPr>
            <w:tcW w:w="3681" w:type="dxa"/>
            <w:shd w:val="clear" w:color="auto" w:fill="auto"/>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国有资本经营预算支出合计</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700</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1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41"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3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151"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pPr w:leftFromText="180" w:rightFromText="180" w:vertAnchor="text" w:horzAnchor="page" w:tblpX="1368" w:tblpY="170"/>
        <w:tblOverlap w:val="never"/>
        <w:tblW w:w="8930" w:type="dxa"/>
        <w:tblInd w:w="0" w:type="dxa"/>
        <w:tblLayout w:type="fixed"/>
        <w:tblCellMar>
          <w:top w:w="0" w:type="dxa"/>
          <w:left w:w="108" w:type="dxa"/>
          <w:bottom w:w="0" w:type="dxa"/>
          <w:right w:w="108" w:type="dxa"/>
        </w:tblCellMar>
      </w:tblPr>
      <w:tblGrid>
        <w:gridCol w:w="7926"/>
        <w:gridCol w:w="1004"/>
      </w:tblGrid>
      <w:tr>
        <w:tblPrEx>
          <w:tblLayout w:type="fixed"/>
          <w:tblCellMar>
            <w:top w:w="0" w:type="dxa"/>
            <w:left w:w="108" w:type="dxa"/>
            <w:bottom w:w="0" w:type="dxa"/>
            <w:right w:w="108" w:type="dxa"/>
          </w:tblCellMar>
        </w:tblPrEx>
        <w:trPr>
          <w:trHeight w:val="300" w:hRule="atLeast"/>
        </w:trPr>
        <w:tc>
          <w:tcPr>
            <w:tcW w:w="7926"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注：1.国有资本经营预算收入增加主要是市场开发公司利润上缴增加。</w:t>
            </w:r>
          </w:p>
        </w:tc>
        <w:tc>
          <w:tcPr>
            <w:tcW w:w="1004"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p>
        </w:tc>
      </w:tr>
      <w:tr>
        <w:tblPrEx>
          <w:tblLayout w:type="fixed"/>
          <w:tblCellMar>
            <w:top w:w="0" w:type="dxa"/>
            <w:left w:w="108" w:type="dxa"/>
            <w:bottom w:w="0" w:type="dxa"/>
            <w:right w:w="108" w:type="dxa"/>
          </w:tblCellMar>
        </w:tblPrEx>
        <w:trPr>
          <w:trHeight w:val="285" w:hRule="atLeast"/>
        </w:trPr>
        <w:tc>
          <w:tcPr>
            <w:tcW w:w="8930" w:type="dxa"/>
            <w:gridSpan w:val="2"/>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2.国有资本经营预算支出减少主要是上年有国有企业办职教幼教补助支出。</w:t>
            </w:r>
          </w:p>
        </w:tc>
      </w:tr>
    </w:tbl>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2019年社会保险基金预算收入决算表</w:t>
      </w:r>
    </w:p>
    <w:p>
      <w:pPr>
        <w:spacing w:after="156" w:afterLines="50" w:line="400" w:lineRule="exact"/>
        <w:rPr>
          <w:sz w:val="24"/>
          <w:szCs w:val="24"/>
        </w:rPr>
      </w:pPr>
      <w:r>
        <w:rPr>
          <w:rFonts w:hint="eastAsia" w:ascii="楷体_GB2312" w:hAnsi="宋体" w:eastAsia="楷体_GB2312" w:cs="宋体"/>
          <w:kern w:val="0"/>
          <w:sz w:val="24"/>
          <w:szCs w:val="24"/>
        </w:rPr>
        <w:t>表九</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6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75"/>
        <w:gridCol w:w="1064"/>
        <w:gridCol w:w="1064"/>
        <w:gridCol w:w="1064"/>
        <w:gridCol w:w="1064"/>
        <w:gridCol w:w="1064"/>
        <w:gridCol w:w="1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6" w:hRule="atLeast"/>
          <w:tblHeader/>
          <w:jc w:val="center"/>
        </w:trPr>
        <w:tc>
          <w:tcPr>
            <w:tcW w:w="3275"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项       目</w:t>
            </w:r>
          </w:p>
        </w:tc>
        <w:tc>
          <w:tcPr>
            <w:tcW w:w="106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2019年决算数</w:t>
            </w:r>
          </w:p>
        </w:tc>
        <w:tc>
          <w:tcPr>
            <w:tcW w:w="106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w:t>
            </w:r>
          </w:p>
          <w:p>
            <w:pPr>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预算数</w:t>
            </w:r>
          </w:p>
        </w:tc>
        <w:tc>
          <w:tcPr>
            <w:tcW w:w="106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2019年调整</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预算数</w:t>
            </w:r>
          </w:p>
        </w:tc>
        <w:tc>
          <w:tcPr>
            <w:tcW w:w="106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完成</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调整</w:t>
            </w:r>
          </w:p>
          <w:p>
            <w:pPr>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预算%</w:t>
            </w:r>
          </w:p>
        </w:tc>
        <w:tc>
          <w:tcPr>
            <w:tcW w:w="106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2018年</w:t>
            </w:r>
          </w:p>
          <w:p>
            <w:pPr>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决算数</w:t>
            </w:r>
          </w:p>
        </w:tc>
        <w:tc>
          <w:tcPr>
            <w:tcW w:w="106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社会保险基金收入合计</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462465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418342</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417848</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362072</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252652</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216721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229206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141224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123884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119264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4080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3597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6169</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上级补助收入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61373</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71566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3238</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其他社会保险基金收入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3136</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4195</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3275" w:type="dxa"/>
            <w:shd w:val="clear" w:color="auto" w:fill="auto"/>
            <w:noWrap/>
            <w:vAlign w:val="center"/>
          </w:tcPr>
          <w:p>
            <w:pPr>
              <w:widowControl/>
              <w:spacing w:line="28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（一）企业职工基本养老保险基金收入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234784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224490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224490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104.6</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192651</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120585</w:t>
            </w:r>
          </w:p>
        </w:tc>
        <w:tc>
          <w:tcPr>
            <w:tcW w:w="1064" w:type="dxa"/>
            <w:shd w:val="clear" w:color="auto" w:fill="auto"/>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112230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126405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48947</w:t>
            </w:r>
          </w:p>
        </w:tc>
        <w:tc>
          <w:tcPr>
            <w:tcW w:w="1064" w:type="dxa"/>
            <w:shd w:val="clear" w:color="auto" w:fill="auto"/>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37110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59378</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3483</w:t>
            </w:r>
          </w:p>
        </w:tc>
        <w:tc>
          <w:tcPr>
            <w:tcW w:w="1064" w:type="dxa"/>
            <w:shd w:val="clear" w:color="auto" w:fill="auto"/>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3147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上级补助收入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61373</w:t>
            </w:r>
          </w:p>
        </w:tc>
        <w:tc>
          <w:tcPr>
            <w:tcW w:w="1064" w:type="dxa"/>
            <w:shd w:val="clear" w:color="auto" w:fill="auto"/>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71566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3238</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其他基本养老保险基金收入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437</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jc w:val="center"/>
        </w:trPr>
        <w:tc>
          <w:tcPr>
            <w:tcW w:w="3275" w:type="dxa"/>
            <w:shd w:val="clear" w:color="auto" w:fill="auto"/>
            <w:noWrap/>
            <w:vAlign w:val="center"/>
          </w:tcPr>
          <w:p>
            <w:pPr>
              <w:widowControl/>
              <w:spacing w:line="28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（二）城乡居民基本养老保险基金收入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27919</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25800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25800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108.2</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29004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1578</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25476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24045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23371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2386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其他居民基本养老保险基金收入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541</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1669</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（三）机关事业单位基本养老保险基金收入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59002</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55124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58444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46286</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25460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26750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37105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33055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28055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8346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其他基本养老保险基金收入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415</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（四）职工基本医疗保险基金收入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53372</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46260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46260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43591</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52170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45225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42721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其他基本医疗保险基金收入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1035</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908</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（五）城乡居民基本医疗保险基金收入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77816</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58280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53776</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144.7</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42120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44633</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23106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13489</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32495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34674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28169</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其他居民基本医疗保险基金收入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688</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（六）工伤保险基金收入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4036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3941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3155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28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其他工伤保险基金收入</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064" w:type="dxa"/>
            <w:shd w:val="clear" w:color="auto" w:fill="auto"/>
            <w:noWrap/>
            <w:vAlign w:val="center"/>
          </w:tcPr>
          <w:p>
            <w:pPr>
              <w:widowControl/>
              <w:spacing w:line="28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（七）失业保险基金收入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3881</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3750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3610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3600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3503</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3540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3186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其他失业保险基金收入</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（八）生育保险基金收入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1527</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108.4</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1665</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spacing w:line="44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1633</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1730</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1622</w:t>
            </w:r>
          </w:p>
        </w:tc>
        <w:tc>
          <w:tcPr>
            <w:tcW w:w="1064" w:type="dxa"/>
            <w:shd w:val="clear" w:color="auto" w:fill="auto"/>
            <w:noWrap/>
            <w:vAlign w:val="center"/>
          </w:tcPr>
          <w:p>
            <w:pPr>
              <w:widowControl/>
              <w:spacing w:line="44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27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其他生育保险基金收入</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06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659" w:type="dxa"/>
        <w:jc w:val="center"/>
        <w:tblInd w:w="0" w:type="dxa"/>
        <w:tblLayout w:type="fixed"/>
        <w:tblCellMar>
          <w:top w:w="0" w:type="dxa"/>
          <w:left w:w="108" w:type="dxa"/>
          <w:bottom w:w="0" w:type="dxa"/>
          <w:right w:w="108" w:type="dxa"/>
        </w:tblCellMar>
      </w:tblPr>
      <w:tblGrid>
        <w:gridCol w:w="9659"/>
      </w:tblGrid>
      <w:tr>
        <w:tblPrEx>
          <w:tblLayout w:type="fixed"/>
          <w:tblCellMar>
            <w:top w:w="0" w:type="dxa"/>
            <w:left w:w="108" w:type="dxa"/>
            <w:bottom w:w="0" w:type="dxa"/>
            <w:right w:w="108" w:type="dxa"/>
          </w:tblCellMar>
        </w:tblPrEx>
        <w:trPr>
          <w:jc w:val="center"/>
        </w:trPr>
        <w:tc>
          <w:tcPr>
            <w:tcW w:w="9659"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注：1.企业职工基本养老保险基金收入增加主要是争取省级调剂金上级补助收入增加。</w:t>
            </w:r>
          </w:p>
        </w:tc>
      </w:tr>
      <w:tr>
        <w:tblPrEx>
          <w:tblLayout w:type="fixed"/>
          <w:tblCellMar>
            <w:top w:w="0" w:type="dxa"/>
            <w:left w:w="108" w:type="dxa"/>
            <w:bottom w:w="0" w:type="dxa"/>
            <w:right w:w="108" w:type="dxa"/>
          </w:tblCellMar>
        </w:tblPrEx>
        <w:trPr>
          <w:jc w:val="center"/>
        </w:trPr>
        <w:tc>
          <w:tcPr>
            <w:tcW w:w="9659"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2.机关事业单位基本养老保险基金收入增加主要是财政补助增加。</w:t>
            </w:r>
          </w:p>
        </w:tc>
      </w:tr>
      <w:tr>
        <w:tblPrEx>
          <w:tblLayout w:type="fixed"/>
          <w:tblCellMar>
            <w:top w:w="0" w:type="dxa"/>
            <w:left w:w="108" w:type="dxa"/>
            <w:bottom w:w="0" w:type="dxa"/>
            <w:right w:w="108" w:type="dxa"/>
          </w:tblCellMar>
        </w:tblPrEx>
        <w:trPr>
          <w:jc w:val="center"/>
        </w:trPr>
        <w:tc>
          <w:tcPr>
            <w:tcW w:w="9659"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3.职工基本医疗保险基金收入增加主要是</w:t>
            </w:r>
            <w:r>
              <w:rPr>
                <w:rFonts w:hint="eastAsia" w:ascii="Times New Roman" w:hAnsi="Times New Roman" w:eastAsia="楷体_GB2312" w:cs="Times New Roman"/>
                <w:color w:val="000000"/>
                <w:kern w:val="0"/>
                <w:sz w:val="22"/>
              </w:rPr>
              <w:t>行政事业单位职工基本医疗保险</w:t>
            </w:r>
            <w:r>
              <w:rPr>
                <w:rFonts w:ascii="Times New Roman" w:hAnsi="Times New Roman" w:eastAsia="楷体_GB2312" w:cs="Times New Roman"/>
                <w:color w:val="000000"/>
                <w:kern w:val="0"/>
                <w:sz w:val="22"/>
              </w:rPr>
              <w:t>费增加。</w:t>
            </w:r>
          </w:p>
        </w:tc>
      </w:tr>
      <w:tr>
        <w:tblPrEx>
          <w:tblLayout w:type="fixed"/>
          <w:tblCellMar>
            <w:top w:w="0" w:type="dxa"/>
            <w:left w:w="108" w:type="dxa"/>
            <w:bottom w:w="0" w:type="dxa"/>
            <w:right w:w="108" w:type="dxa"/>
          </w:tblCellMar>
        </w:tblPrEx>
        <w:trPr>
          <w:jc w:val="center"/>
        </w:trPr>
        <w:tc>
          <w:tcPr>
            <w:tcW w:w="9659" w:type="dxa"/>
            <w:tcBorders>
              <w:top w:val="nil"/>
              <w:left w:val="nil"/>
              <w:bottom w:val="nil"/>
              <w:right w:val="nil"/>
            </w:tcBorders>
            <w:shd w:val="clear" w:color="auto" w:fill="auto"/>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4.城乡居民基本医疗保险基金收入增加主要是筹资标准提高和2020年城乡居民基本医疗保险个人缴费改由税务征收后计入当年收入。</w:t>
            </w:r>
          </w:p>
        </w:tc>
      </w:tr>
      <w:tr>
        <w:tblPrEx>
          <w:tblLayout w:type="fixed"/>
          <w:tblCellMar>
            <w:top w:w="0" w:type="dxa"/>
            <w:left w:w="108" w:type="dxa"/>
            <w:bottom w:w="0" w:type="dxa"/>
            <w:right w:w="108" w:type="dxa"/>
          </w:tblCellMar>
        </w:tblPrEx>
        <w:trPr>
          <w:jc w:val="center"/>
        </w:trPr>
        <w:tc>
          <w:tcPr>
            <w:tcW w:w="9659"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5.工伤保险基金收入增加主要是财政补贴收入增加。</w:t>
            </w:r>
          </w:p>
        </w:tc>
      </w:tr>
    </w:tbl>
    <w:p/>
    <w:p>
      <w:pPr>
        <w:jc w:val="center"/>
        <w:rPr>
          <w:rFonts w:hint="eastAsia"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2019年社会保险基金预算支出决算表</w:t>
      </w:r>
    </w:p>
    <w:p>
      <w:pPr>
        <w:spacing w:after="156" w:afterLines="50" w:line="400" w:lineRule="exact"/>
        <w:rPr>
          <w:sz w:val="24"/>
          <w:szCs w:val="24"/>
        </w:rPr>
      </w:pPr>
      <w:r>
        <w:rPr>
          <w:rFonts w:hint="eastAsia" w:ascii="楷体_GB2312" w:hAnsi="宋体" w:eastAsia="楷体_GB2312" w:cs="宋体"/>
          <w:kern w:val="0"/>
          <w:sz w:val="24"/>
          <w:szCs w:val="24"/>
        </w:rPr>
        <w:t>表十</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6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64"/>
        <w:gridCol w:w="1023"/>
        <w:gridCol w:w="1024"/>
        <w:gridCol w:w="1024"/>
        <w:gridCol w:w="1024"/>
        <w:gridCol w:w="1024"/>
        <w:gridCol w:w="10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tblHeader/>
          <w:jc w:val="center"/>
        </w:trPr>
        <w:tc>
          <w:tcPr>
            <w:tcW w:w="3464"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w:t>
            </w:r>
            <w:r>
              <w:rPr>
                <w:rFonts w:hint="eastAsia" w:ascii="黑体" w:hAnsi="黑体" w:eastAsia="黑体" w:cs="Times New Roman"/>
                <w:color w:val="000000"/>
                <w:kern w:val="0"/>
                <w:sz w:val="24"/>
                <w:szCs w:val="24"/>
              </w:rPr>
              <w:t xml:space="preserve">     </w:t>
            </w:r>
            <w:r>
              <w:rPr>
                <w:rFonts w:ascii="黑体" w:hAnsi="黑体" w:eastAsia="黑体" w:cs="Times New Roman"/>
                <w:color w:val="000000"/>
                <w:kern w:val="0"/>
                <w:sz w:val="24"/>
                <w:szCs w:val="24"/>
              </w:rPr>
              <w:t xml:space="preserve">  目</w:t>
            </w:r>
          </w:p>
        </w:tc>
        <w:tc>
          <w:tcPr>
            <w:tcW w:w="1023"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年决算数</w:t>
            </w:r>
          </w:p>
        </w:tc>
        <w:tc>
          <w:tcPr>
            <w:tcW w:w="1024"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w:t>
            </w:r>
          </w:p>
          <w:p>
            <w:pPr>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预算数</w:t>
            </w:r>
          </w:p>
        </w:tc>
        <w:tc>
          <w:tcPr>
            <w:tcW w:w="1024"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w:t>
            </w:r>
            <w:r>
              <w:rPr>
                <w:rFonts w:hint="eastAsia" w:ascii="黑体" w:hAnsi="黑体" w:eastAsia="黑体" w:cs="Times New Roman"/>
                <w:color w:val="000000"/>
                <w:kern w:val="0"/>
                <w:sz w:val="24"/>
                <w:szCs w:val="24"/>
              </w:rPr>
              <w:t>年调整</w:t>
            </w:r>
          </w:p>
          <w:p>
            <w:pPr>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预算数</w:t>
            </w:r>
          </w:p>
        </w:tc>
        <w:tc>
          <w:tcPr>
            <w:tcW w:w="1024"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完成</w:t>
            </w:r>
          </w:p>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调整</w:t>
            </w:r>
          </w:p>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w:t>
            </w:r>
          </w:p>
        </w:tc>
        <w:tc>
          <w:tcPr>
            <w:tcW w:w="1024"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2018</w:t>
            </w:r>
            <w:r>
              <w:rPr>
                <w:rFonts w:hint="eastAsia" w:ascii="黑体" w:hAnsi="黑体" w:eastAsia="黑体" w:cs="Times New Roman"/>
                <w:color w:val="000000"/>
                <w:kern w:val="0"/>
                <w:sz w:val="24"/>
                <w:szCs w:val="24"/>
              </w:rPr>
              <w:t>年</w:t>
            </w:r>
          </w:p>
          <w:p>
            <w:pPr>
              <w:jc w:val="center"/>
              <w:rPr>
                <w:rFonts w:ascii="黑体" w:hAnsi="黑体" w:eastAsia="黑体" w:cs="Times New Roman"/>
                <w:color w:val="000000"/>
                <w:kern w:val="0"/>
                <w:sz w:val="24"/>
                <w:szCs w:val="24"/>
              </w:rPr>
            </w:pPr>
            <w:r>
              <w:rPr>
                <w:rFonts w:hint="eastAsia" w:ascii="黑体" w:hAnsi="黑体" w:eastAsia="黑体" w:cs="宋体"/>
                <w:color w:val="000000"/>
                <w:kern w:val="0"/>
                <w:sz w:val="24"/>
                <w:szCs w:val="24"/>
              </w:rPr>
              <w:t>决算数</w:t>
            </w:r>
          </w:p>
        </w:tc>
        <w:tc>
          <w:tcPr>
            <w:tcW w:w="1024"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比上年±%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一、本级社会保险基金支出合计</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424629</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428509</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441191</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365678</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其中：社会保险待遇支出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419482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422291</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358070</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2536</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上解上级支出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2963</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3336</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5072</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（一）企业职工基本养老保险基金支出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225865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227615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227615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204182</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其中：基本养老金支出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218984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220665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195728</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丧葬抚恤补助</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1645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1521</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1890</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1798</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1721</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上解上级支出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2963</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3336</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5072</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其他基本养老保险基金支出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（二）城乡居民基本养老保险基金支出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26622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26398</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26398</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100.8</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24253</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其中：保险待遇支出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26402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25798</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23946</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307</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其他居民基本养老保险基金支出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（三）机关事业单位基本养老保险基金支出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55599</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55124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55882</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99.5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52199</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其中：基本养老金支出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55518</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54640</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51691</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丧葬抚恤补助支出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508</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（四）职工基本医疗保险基金支出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44427</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49851</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49851</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89.1</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35225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其中：职工基本医疗保险统筹基金</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28309</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31031</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22865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职工基本医疗保险个人账户基金</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16118</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18820</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12360</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（五）城乡居民基本医疗保险基金支出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53296</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60252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60252</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88.5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40145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其中：基本医疗保险待遇支出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49242</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59004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36383</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其他居民基本医疗保险基金支出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4054</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1248</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3762</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（六）工伤保险基金支出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5051</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4589</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5513</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91.6</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其中：工伤保险待遇支出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5051</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4589</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（七）失业保险基金支出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11336</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13355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84.9</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2553</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其中：失业保险基金支出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11336</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2355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2553</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（八）生育保险基金支出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2433</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2325</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104.6</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2936</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3464"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其中：生育保险基金支出</w:t>
            </w:r>
          </w:p>
        </w:tc>
        <w:tc>
          <w:tcPr>
            <w:tcW w:w="102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2433</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2325</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2936</w:t>
            </w:r>
          </w:p>
        </w:tc>
        <w:tc>
          <w:tcPr>
            <w:tcW w:w="102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tbl>
      <w:tblPr>
        <w:tblStyle w:val="10"/>
        <w:tblW w:w="9607" w:type="dxa"/>
        <w:jc w:val="center"/>
        <w:tblInd w:w="0" w:type="dxa"/>
        <w:tblLayout w:type="fixed"/>
        <w:tblCellMar>
          <w:top w:w="0" w:type="dxa"/>
          <w:left w:w="108" w:type="dxa"/>
          <w:bottom w:w="0" w:type="dxa"/>
          <w:right w:w="108" w:type="dxa"/>
        </w:tblCellMar>
      </w:tblPr>
      <w:tblGrid>
        <w:gridCol w:w="9607"/>
      </w:tblGrid>
      <w:tr>
        <w:tblPrEx>
          <w:tblLayout w:type="fixed"/>
          <w:tblCellMar>
            <w:top w:w="0" w:type="dxa"/>
            <w:left w:w="108" w:type="dxa"/>
            <w:bottom w:w="0" w:type="dxa"/>
            <w:right w:w="108" w:type="dxa"/>
          </w:tblCellMar>
        </w:tblPrEx>
        <w:trPr>
          <w:trHeight w:val="300" w:hRule="atLeast"/>
          <w:jc w:val="center"/>
        </w:trPr>
        <w:tc>
          <w:tcPr>
            <w:tcW w:w="9607"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注：1.企业职工基本养老保险基金支出增加主要是退休待遇标准提高及享受人数增加。</w:t>
            </w:r>
          </w:p>
        </w:tc>
      </w:tr>
      <w:tr>
        <w:tblPrEx>
          <w:tblLayout w:type="fixed"/>
          <w:tblCellMar>
            <w:top w:w="0" w:type="dxa"/>
            <w:left w:w="108" w:type="dxa"/>
            <w:bottom w:w="0" w:type="dxa"/>
            <w:right w:w="108" w:type="dxa"/>
          </w:tblCellMar>
        </w:tblPrEx>
        <w:trPr>
          <w:trHeight w:val="300" w:hRule="atLeast"/>
          <w:jc w:val="center"/>
        </w:trPr>
        <w:tc>
          <w:tcPr>
            <w:tcW w:w="960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2.职工基本医疗保险基金支出增加主要是2019年医疗保险金华市级统筹后报销待遇标准提高和人数增加。</w:t>
            </w:r>
          </w:p>
        </w:tc>
      </w:tr>
      <w:tr>
        <w:tblPrEx>
          <w:tblLayout w:type="fixed"/>
          <w:tblCellMar>
            <w:top w:w="0" w:type="dxa"/>
            <w:left w:w="108" w:type="dxa"/>
            <w:bottom w:w="0" w:type="dxa"/>
            <w:right w:w="108" w:type="dxa"/>
          </w:tblCellMar>
        </w:tblPrEx>
        <w:trPr>
          <w:trHeight w:val="300" w:hRule="atLeast"/>
          <w:jc w:val="center"/>
        </w:trPr>
        <w:tc>
          <w:tcPr>
            <w:tcW w:w="960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3.城乡居民基本医疗保险基金支出增加主要是2019年医疗保险金华市级统筹后报销待遇提高和人数增加。</w:t>
            </w:r>
          </w:p>
        </w:tc>
      </w:tr>
      <w:tr>
        <w:tblPrEx>
          <w:tblLayout w:type="fixed"/>
          <w:tblCellMar>
            <w:top w:w="0" w:type="dxa"/>
            <w:left w:w="108" w:type="dxa"/>
            <w:bottom w:w="0" w:type="dxa"/>
            <w:right w:w="108" w:type="dxa"/>
          </w:tblCellMar>
        </w:tblPrEx>
        <w:trPr>
          <w:trHeight w:val="285" w:hRule="atLeast"/>
          <w:jc w:val="center"/>
        </w:trPr>
        <w:tc>
          <w:tcPr>
            <w:tcW w:w="960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4.工伤保险基金支出增加主要是待遇标准提高和工亡人数增加。</w:t>
            </w:r>
          </w:p>
        </w:tc>
      </w:tr>
      <w:tr>
        <w:tblPrEx>
          <w:tblLayout w:type="fixed"/>
          <w:tblCellMar>
            <w:top w:w="0" w:type="dxa"/>
            <w:left w:w="108" w:type="dxa"/>
            <w:bottom w:w="0" w:type="dxa"/>
            <w:right w:w="108" w:type="dxa"/>
          </w:tblCellMar>
        </w:tblPrEx>
        <w:trPr>
          <w:trHeight w:val="285" w:hRule="atLeast"/>
          <w:jc w:val="center"/>
        </w:trPr>
        <w:tc>
          <w:tcPr>
            <w:tcW w:w="960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5.失业保险基金支出增加主要是实施企业社保费返还政策。</w:t>
            </w:r>
          </w:p>
        </w:tc>
      </w:tr>
      <w:tr>
        <w:tblPrEx>
          <w:tblLayout w:type="fixed"/>
          <w:tblCellMar>
            <w:top w:w="0" w:type="dxa"/>
            <w:left w:w="108" w:type="dxa"/>
            <w:bottom w:w="0" w:type="dxa"/>
            <w:right w:w="108" w:type="dxa"/>
          </w:tblCellMar>
        </w:tblPrEx>
        <w:trPr>
          <w:trHeight w:val="300" w:hRule="atLeast"/>
          <w:jc w:val="center"/>
        </w:trPr>
        <w:tc>
          <w:tcPr>
            <w:tcW w:w="960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6.生育保险基金支出减少主要是2018年包含待遇政策调整补发2016-2017年生育津贴。</w:t>
            </w:r>
          </w:p>
        </w:tc>
      </w:tr>
    </w:tbl>
    <w:p/>
    <w:p>
      <w:pPr>
        <w:pStyle w:val="2"/>
        <w:rPr>
          <w:rFonts w:hint="default"/>
        </w:rPr>
      </w:pPr>
    </w:p>
    <w:p>
      <w:pPr>
        <w:spacing w:line="560" w:lineRule="exact"/>
        <w:jc w:val="center"/>
        <w:rPr>
          <w:rFonts w:ascii="Times New Roman" w:hAnsi="Times New Roman" w:eastAsia="方正小标宋简体" w:cs="Times New Roman"/>
          <w:spacing w:val="-10"/>
          <w:w w:val="95"/>
          <w:sz w:val="44"/>
          <w:szCs w:val="44"/>
        </w:rPr>
      </w:pPr>
    </w:p>
    <w:p>
      <w:pPr>
        <w:spacing w:line="560" w:lineRule="exact"/>
        <w:jc w:val="center"/>
        <w:rPr>
          <w:rFonts w:ascii="Times New Roman" w:hAnsi="Times New Roman" w:eastAsia="方正小标宋简体" w:cs="Times New Roman"/>
          <w:spacing w:val="-10"/>
          <w:w w:val="95"/>
          <w:sz w:val="44"/>
          <w:szCs w:val="44"/>
        </w:rPr>
      </w:pPr>
      <w:r>
        <w:rPr>
          <w:rFonts w:hint="eastAsia" w:ascii="Times New Roman" w:hAnsi="Times New Roman" w:eastAsia="方正小标宋简体" w:cs="Times New Roman"/>
          <w:spacing w:val="-10"/>
          <w:w w:val="95"/>
          <w:sz w:val="44"/>
          <w:szCs w:val="44"/>
        </w:rPr>
        <w:t>2019年社会保险基金收支情况结余表</w:t>
      </w:r>
    </w:p>
    <w:p>
      <w:pPr>
        <w:pStyle w:val="2"/>
        <w:spacing w:before="156" w:beforeLines="50" w:after="156" w:afterLines="50"/>
        <w:jc w:val="right"/>
        <w:rPr>
          <w:rFonts w:hint="default" w:ascii="Times New Roman" w:hAnsi="Times New Roman" w:eastAsia="楷体_GB2312"/>
          <w:kern w:val="2"/>
        </w:rPr>
      </w:pPr>
      <w:r>
        <w:rPr>
          <w:rFonts w:ascii="Times New Roman" w:hAnsi="Times New Roman" w:eastAsia="楷体_GB2312"/>
          <w:kern w:val="2"/>
        </w:rPr>
        <w:t>表十一                                                           单位：万元</w:t>
      </w:r>
    </w:p>
    <w:tbl>
      <w:tblPr>
        <w:tblStyle w:val="10"/>
        <w:tblW w:w="91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26"/>
        <w:gridCol w:w="1031"/>
        <w:gridCol w:w="1086"/>
        <w:gridCol w:w="1086"/>
        <w:gridCol w:w="1085"/>
        <w:gridCol w:w="10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3726" w:type="dxa"/>
            <w:shd w:val="clear" w:color="auto" w:fill="auto"/>
            <w:noWrap/>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项     目</w:t>
            </w:r>
          </w:p>
        </w:tc>
        <w:tc>
          <w:tcPr>
            <w:tcW w:w="1031"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年初</w:t>
            </w:r>
          </w:p>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余额</w:t>
            </w:r>
          </w:p>
        </w:tc>
        <w:tc>
          <w:tcPr>
            <w:tcW w:w="1086"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当年</w:t>
            </w:r>
          </w:p>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收入</w:t>
            </w:r>
          </w:p>
        </w:tc>
        <w:tc>
          <w:tcPr>
            <w:tcW w:w="1086" w:type="dxa"/>
            <w:shd w:val="clear" w:color="auto" w:fill="auto"/>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当年</w:t>
            </w:r>
          </w:p>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支出</w:t>
            </w:r>
          </w:p>
        </w:tc>
        <w:tc>
          <w:tcPr>
            <w:tcW w:w="1085" w:type="dxa"/>
            <w:shd w:val="clear" w:color="auto" w:fill="auto"/>
            <w:noWrap/>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当年收支结余</w:t>
            </w:r>
          </w:p>
        </w:tc>
        <w:tc>
          <w:tcPr>
            <w:tcW w:w="1086" w:type="dxa"/>
            <w:shd w:val="clear" w:color="auto" w:fill="auto"/>
            <w:noWrap/>
            <w:vAlign w:val="center"/>
          </w:tcPr>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累计</w:t>
            </w:r>
          </w:p>
          <w:p>
            <w:pPr>
              <w:widowControl/>
              <w:jc w:val="center"/>
              <w:textAlignment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结余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一、企业职工基本养老保险基金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35561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234784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225865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8919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44480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二、城乡居民基本养老保险基金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23906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27919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26622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1297 </w:t>
            </w:r>
          </w:p>
        </w:tc>
        <w:tc>
          <w:tcPr>
            <w:tcW w:w="108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25203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三、机关事业单位基本养老保险基金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-458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59002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55599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3403 </w:t>
            </w:r>
          </w:p>
        </w:tc>
        <w:tc>
          <w:tcPr>
            <w:tcW w:w="108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四、职工基本医疗保险基金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52632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53372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44427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8945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61577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五、城乡居民基本医疗保险基金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16584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77816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53296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24520 </w:t>
            </w:r>
          </w:p>
        </w:tc>
        <w:tc>
          <w:tcPr>
            <w:tcW w:w="108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41104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六、工伤保险基金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1824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4036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5051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-1015 </w:t>
            </w:r>
          </w:p>
        </w:tc>
        <w:tc>
          <w:tcPr>
            <w:tcW w:w="108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七、失业保险基金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17270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3881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11336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-7455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726"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八、生育保险基金</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1960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1655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2433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-778 </w:t>
            </w:r>
          </w:p>
        </w:tc>
        <w:tc>
          <w:tcPr>
            <w:tcW w:w="1086"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1" w:hRule="atLeast"/>
          <w:jc w:val="center"/>
        </w:trPr>
        <w:tc>
          <w:tcPr>
            <w:tcW w:w="3726" w:type="dxa"/>
            <w:shd w:val="clear" w:color="auto" w:fill="auto"/>
            <w:noWrap/>
            <w:vAlign w:val="center"/>
          </w:tcPr>
          <w:p>
            <w:pPr>
              <w:widowControl/>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031"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149279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462465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424629 </w:t>
            </w:r>
          </w:p>
        </w:tc>
        <w:tc>
          <w:tcPr>
            <w:tcW w:w="108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37836 </w:t>
            </w:r>
          </w:p>
        </w:tc>
        <w:tc>
          <w:tcPr>
            <w:tcW w:w="1086"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187115 </w:t>
            </w:r>
          </w:p>
        </w:tc>
      </w:tr>
    </w:tbl>
    <w:p>
      <w:pPr>
        <w:spacing w:line="560" w:lineRule="exact"/>
        <w:jc w:val="both"/>
        <w:rPr>
          <w:rFonts w:ascii="Times New Roman" w:hAnsi="Times New Roman" w:eastAsia="方正小标宋简体" w:cs="Times New Roman"/>
          <w:spacing w:val="-10"/>
          <w:w w:val="95"/>
          <w:sz w:val="44"/>
          <w:szCs w:val="44"/>
        </w:rPr>
      </w:pPr>
    </w:p>
    <w:tbl>
      <w:tblPr>
        <w:tblStyle w:val="10"/>
        <w:tblpPr w:leftFromText="180" w:rightFromText="180" w:vertAnchor="text" w:horzAnchor="page" w:tblpX="1307" w:tblpY="59"/>
        <w:tblOverlap w:val="never"/>
        <w:tblW w:w="9607" w:type="dxa"/>
        <w:tblInd w:w="0" w:type="dxa"/>
        <w:tblLayout w:type="fixed"/>
        <w:tblCellMar>
          <w:top w:w="0" w:type="dxa"/>
          <w:left w:w="108" w:type="dxa"/>
          <w:bottom w:w="0" w:type="dxa"/>
          <w:right w:w="108" w:type="dxa"/>
        </w:tblCellMar>
      </w:tblPr>
      <w:tblGrid>
        <w:gridCol w:w="9607"/>
      </w:tblGrid>
      <w:tr>
        <w:tblPrEx>
          <w:tblLayout w:type="fixed"/>
          <w:tblCellMar>
            <w:top w:w="0" w:type="dxa"/>
            <w:left w:w="108" w:type="dxa"/>
            <w:bottom w:w="0" w:type="dxa"/>
            <w:right w:w="108" w:type="dxa"/>
          </w:tblCellMar>
        </w:tblPrEx>
        <w:trPr>
          <w:trHeight w:val="300" w:hRule="atLeast"/>
        </w:trPr>
        <w:tc>
          <w:tcPr>
            <w:tcW w:w="9607"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kern w:val="0"/>
                <w:sz w:val="20"/>
                <w:szCs w:val="20"/>
              </w:rPr>
            </w:pPr>
            <w:r>
              <w:rPr>
                <w:rFonts w:ascii="Times New Roman" w:hAnsi="Times New Roman" w:eastAsia="楷体_GB2312" w:cs="Times New Roman"/>
                <w:color w:val="000000"/>
                <w:kern w:val="0"/>
                <w:sz w:val="22"/>
              </w:rPr>
              <w:t>注：</w:t>
            </w:r>
            <w:r>
              <w:rPr>
                <w:rFonts w:hint="eastAsia" w:ascii="Times New Roman" w:hAnsi="Times New Roman" w:eastAsia="楷体_GB2312" w:cs="Times New Roman"/>
                <w:color w:val="000000"/>
                <w:kern w:val="0"/>
                <w:sz w:val="22"/>
              </w:rPr>
              <w:t>1.职工基本医疗保险累计结余61577万元，其中个人账户37987万元、统筹账户23590万元。</w:t>
            </w:r>
          </w:p>
        </w:tc>
      </w:tr>
      <w:tr>
        <w:tblPrEx>
          <w:tblLayout w:type="fixed"/>
          <w:tblCellMar>
            <w:top w:w="0" w:type="dxa"/>
            <w:left w:w="108" w:type="dxa"/>
            <w:bottom w:w="0" w:type="dxa"/>
            <w:right w:w="108" w:type="dxa"/>
          </w:tblCellMar>
        </w:tblPrEx>
        <w:trPr>
          <w:trHeight w:val="300" w:hRule="atLeast"/>
        </w:trPr>
        <w:tc>
          <w:tcPr>
            <w:tcW w:w="9607" w:type="dxa"/>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hint="eastAsia" w:ascii="Times New Roman" w:hAnsi="Times New Roman" w:eastAsia="楷体_GB2312" w:cs="Times New Roman"/>
                <w:color w:val="000000"/>
                <w:kern w:val="0"/>
                <w:sz w:val="22"/>
              </w:rPr>
              <w:t>2.城乡居民基本医疗保险累计结余41104万元含2020年个人保费23273万元。</w:t>
            </w:r>
          </w:p>
        </w:tc>
      </w:tr>
    </w:tbl>
    <w:p>
      <w:pPr>
        <w:spacing w:line="560" w:lineRule="exact"/>
        <w:jc w:val="center"/>
        <w:rPr>
          <w:rFonts w:ascii="Times New Roman" w:hAnsi="Times New Roman" w:eastAsia="方正小标宋简体" w:cs="Times New Roman"/>
          <w:spacing w:val="-10"/>
          <w:w w:val="95"/>
          <w:sz w:val="44"/>
          <w:szCs w:val="44"/>
        </w:rPr>
      </w:pPr>
    </w:p>
    <w:p>
      <w:pPr>
        <w:spacing w:line="560" w:lineRule="exact"/>
        <w:jc w:val="center"/>
        <w:rPr>
          <w:rFonts w:ascii="Times New Roman" w:hAnsi="Times New Roman" w:eastAsia="方正小标宋简体" w:cs="Times New Roman"/>
          <w:spacing w:val="-10"/>
          <w:w w:val="95"/>
          <w:sz w:val="44"/>
          <w:szCs w:val="44"/>
        </w:rPr>
      </w:pPr>
    </w:p>
    <w:p>
      <w:pPr>
        <w:spacing w:line="560" w:lineRule="exact"/>
        <w:jc w:val="center"/>
        <w:rPr>
          <w:rFonts w:ascii="Times New Roman" w:hAnsi="Times New Roman" w:eastAsia="方正小标宋简体" w:cs="Times New Roman"/>
          <w:spacing w:val="-10"/>
          <w:w w:val="95"/>
          <w:sz w:val="44"/>
          <w:szCs w:val="44"/>
        </w:rPr>
      </w:pPr>
    </w:p>
    <w:p>
      <w:pPr>
        <w:spacing w:line="560" w:lineRule="exact"/>
        <w:jc w:val="center"/>
        <w:rPr>
          <w:rFonts w:ascii="Times New Roman" w:hAnsi="Times New Roman" w:eastAsia="方正小标宋简体" w:cs="Times New Roman"/>
          <w:spacing w:val="-10"/>
          <w:w w:val="95"/>
          <w:sz w:val="44"/>
          <w:szCs w:val="44"/>
        </w:rPr>
      </w:pPr>
    </w:p>
    <w:p>
      <w:pPr>
        <w:spacing w:line="560" w:lineRule="exact"/>
        <w:jc w:val="center"/>
        <w:rPr>
          <w:rFonts w:ascii="Times New Roman" w:hAnsi="Times New Roman" w:eastAsia="方正小标宋简体" w:cs="Times New Roman"/>
          <w:spacing w:val="-10"/>
          <w:w w:val="95"/>
          <w:sz w:val="44"/>
          <w:szCs w:val="44"/>
        </w:rPr>
      </w:pPr>
    </w:p>
    <w:p>
      <w:pPr>
        <w:spacing w:line="560" w:lineRule="exact"/>
        <w:jc w:val="center"/>
        <w:rPr>
          <w:rFonts w:ascii="Times New Roman" w:hAnsi="Times New Roman" w:eastAsia="方正小标宋简体" w:cs="Times New Roman"/>
          <w:spacing w:val="-10"/>
          <w:w w:val="95"/>
          <w:sz w:val="44"/>
          <w:szCs w:val="44"/>
        </w:rPr>
      </w:pPr>
    </w:p>
    <w:p>
      <w:pPr>
        <w:spacing w:line="560" w:lineRule="exact"/>
        <w:jc w:val="center"/>
        <w:rPr>
          <w:rFonts w:ascii="Times New Roman" w:hAnsi="Times New Roman" w:eastAsia="方正小标宋简体" w:cs="Times New Roman"/>
          <w:spacing w:val="-10"/>
          <w:w w:val="95"/>
          <w:sz w:val="44"/>
          <w:szCs w:val="44"/>
        </w:rPr>
      </w:pPr>
      <w:r>
        <w:rPr>
          <w:rFonts w:ascii="Times New Roman" w:hAnsi="Times New Roman" w:eastAsia="方正小标宋简体" w:cs="Times New Roman"/>
          <w:spacing w:val="-10"/>
          <w:w w:val="95"/>
          <w:sz w:val="44"/>
          <w:szCs w:val="44"/>
        </w:rPr>
        <w:t>2019年一般公共预算税收返还和转移支付决算表</w:t>
      </w:r>
    </w:p>
    <w:p>
      <w:pPr>
        <w:rPr>
          <w:rFonts w:ascii="Times New Roman" w:hAnsi="Times New Roman" w:eastAsia="楷体_GB2312" w:cs="Times New Roman"/>
          <w:sz w:val="24"/>
        </w:rPr>
      </w:pPr>
    </w:p>
    <w:p>
      <w:pPr>
        <w:spacing w:after="156" w:afterLines="50" w:line="400" w:lineRule="exact"/>
        <w:rPr>
          <w:rFonts w:ascii="楷体_GB2312" w:hAnsi="宋体" w:eastAsia="楷体_GB2312" w:cs="宋体"/>
          <w:kern w:val="0"/>
          <w:sz w:val="24"/>
          <w:szCs w:val="24"/>
        </w:rPr>
      </w:pPr>
      <w:r>
        <w:rPr>
          <w:rFonts w:ascii="楷体_GB2312" w:hAnsi="宋体" w:eastAsia="楷体_GB2312" w:cs="宋体"/>
          <w:kern w:val="0"/>
          <w:sz w:val="24"/>
          <w:szCs w:val="24"/>
        </w:rPr>
        <w:t>表十</w:t>
      </w:r>
      <w:r>
        <w:rPr>
          <w:rFonts w:hint="eastAsia" w:ascii="楷体_GB2312" w:hAnsi="宋体" w:eastAsia="楷体_GB2312" w:cs="宋体"/>
          <w:kern w:val="0"/>
          <w:sz w:val="24"/>
          <w:szCs w:val="24"/>
        </w:rPr>
        <w:t>二</w:t>
      </w:r>
      <w:r>
        <w:rPr>
          <w:rFonts w:ascii="楷体_GB2312" w:hAnsi="宋体" w:eastAsia="楷体_GB2312" w:cs="宋体"/>
          <w:kern w:val="0"/>
          <w:sz w:val="24"/>
          <w:szCs w:val="24"/>
        </w:rPr>
        <w:t xml:space="preserve">                                                        单位：万元</w:t>
      </w:r>
    </w:p>
    <w:tbl>
      <w:tblPr>
        <w:tblStyle w:val="10"/>
        <w:tblW w:w="92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6090"/>
        <w:gridCol w:w="1579"/>
        <w:gridCol w:w="1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6090" w:type="dxa"/>
            <w:noWrap/>
            <w:vAlign w:val="center"/>
          </w:tcPr>
          <w:p>
            <w:pPr>
              <w:widowControl/>
              <w:jc w:val="center"/>
              <w:rPr>
                <w:rFonts w:ascii="Times New Roman" w:hAnsi="Times New Roman" w:eastAsia="黑体" w:cs="Times New Roman"/>
                <w:sz w:val="24"/>
              </w:rPr>
            </w:pPr>
            <w:r>
              <w:rPr>
                <w:rFonts w:ascii="Times New Roman" w:hAnsi="Times New Roman" w:eastAsia="黑体" w:cs="Times New Roman"/>
                <w:sz w:val="24"/>
              </w:rPr>
              <w:t>项       目</w:t>
            </w:r>
          </w:p>
        </w:tc>
        <w:tc>
          <w:tcPr>
            <w:tcW w:w="1579" w:type="dxa"/>
            <w:noWrap/>
            <w:vAlign w:val="center"/>
          </w:tcPr>
          <w:p>
            <w:pPr>
              <w:widowControl/>
              <w:jc w:val="center"/>
              <w:rPr>
                <w:rFonts w:ascii="Times New Roman" w:hAnsi="Times New Roman" w:eastAsia="黑体" w:cs="Times New Roman"/>
                <w:sz w:val="24"/>
              </w:rPr>
            </w:pPr>
            <w:r>
              <w:rPr>
                <w:rFonts w:ascii="Times New Roman" w:hAnsi="Times New Roman" w:eastAsia="黑体" w:cs="Times New Roman"/>
                <w:sz w:val="24"/>
              </w:rPr>
              <w:t>201</w:t>
            </w:r>
            <w:r>
              <w:rPr>
                <w:rFonts w:hint="eastAsia" w:ascii="Times New Roman" w:hAnsi="Times New Roman" w:eastAsia="黑体" w:cs="Times New Roman"/>
                <w:sz w:val="24"/>
              </w:rPr>
              <w:t>9</w:t>
            </w:r>
            <w:r>
              <w:rPr>
                <w:rFonts w:ascii="Times New Roman" w:hAnsi="Times New Roman" w:eastAsia="黑体" w:cs="Times New Roman"/>
                <w:sz w:val="24"/>
              </w:rPr>
              <w:t>年</w:t>
            </w:r>
          </w:p>
          <w:p>
            <w:pPr>
              <w:widowControl/>
              <w:jc w:val="center"/>
              <w:rPr>
                <w:rFonts w:ascii="Times New Roman" w:hAnsi="Times New Roman" w:eastAsia="黑体" w:cs="Times New Roman"/>
                <w:sz w:val="24"/>
              </w:rPr>
            </w:pPr>
            <w:r>
              <w:rPr>
                <w:rFonts w:ascii="Times New Roman" w:hAnsi="Times New Roman" w:eastAsia="黑体" w:cs="Times New Roman"/>
                <w:sz w:val="24"/>
              </w:rPr>
              <w:t>预算数</w:t>
            </w:r>
          </w:p>
        </w:tc>
        <w:tc>
          <w:tcPr>
            <w:tcW w:w="1585" w:type="dxa"/>
            <w:noWrap/>
            <w:vAlign w:val="center"/>
          </w:tcPr>
          <w:p>
            <w:pPr>
              <w:widowControl/>
              <w:jc w:val="center"/>
              <w:rPr>
                <w:rFonts w:ascii="Times New Roman" w:hAnsi="Times New Roman" w:eastAsia="黑体" w:cs="Times New Roman"/>
                <w:sz w:val="24"/>
              </w:rPr>
            </w:pPr>
            <w:r>
              <w:rPr>
                <w:rFonts w:ascii="Times New Roman" w:hAnsi="Times New Roman" w:eastAsia="黑体" w:cs="Times New Roman"/>
                <w:sz w:val="24"/>
              </w:rPr>
              <w:t>201</w:t>
            </w:r>
            <w:r>
              <w:rPr>
                <w:rFonts w:hint="eastAsia" w:ascii="Times New Roman" w:hAnsi="Times New Roman" w:eastAsia="黑体" w:cs="Times New Roman"/>
                <w:sz w:val="24"/>
              </w:rPr>
              <w:t>9</w:t>
            </w:r>
            <w:r>
              <w:rPr>
                <w:rFonts w:ascii="Times New Roman" w:hAnsi="Times New Roman" w:eastAsia="黑体" w:cs="Times New Roman"/>
                <w:sz w:val="24"/>
              </w:rPr>
              <w:t>年</w:t>
            </w:r>
          </w:p>
          <w:p>
            <w:pPr>
              <w:widowControl/>
              <w:jc w:val="center"/>
              <w:rPr>
                <w:rFonts w:ascii="Times New Roman" w:hAnsi="Times New Roman" w:eastAsia="黑体" w:cs="Times New Roman"/>
                <w:sz w:val="24"/>
              </w:rPr>
            </w:pPr>
            <w:r>
              <w:rPr>
                <w:rFonts w:ascii="Times New Roman" w:hAnsi="Times New Roman" w:eastAsia="黑体" w:cs="Times New Roman"/>
                <w:sz w:val="24"/>
              </w:rPr>
              <w:t>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6090" w:type="dxa"/>
            <w:noWrap/>
            <w:vAlign w:val="center"/>
          </w:tcPr>
          <w:p>
            <w:pPr>
              <w:widowControl/>
              <w:rPr>
                <w:rFonts w:ascii="Times New Roman" w:hAnsi="Times New Roman" w:cs="Times New Roman"/>
                <w:sz w:val="24"/>
              </w:rPr>
            </w:pPr>
            <w:r>
              <w:rPr>
                <w:rFonts w:ascii="Times New Roman" w:hAnsi="Times New Roman" w:cs="Times New Roman"/>
                <w:sz w:val="24"/>
              </w:rPr>
              <w:t>一、税收返还</w:t>
            </w:r>
          </w:p>
        </w:tc>
        <w:tc>
          <w:tcPr>
            <w:tcW w:w="1579" w:type="dxa"/>
            <w:noWrap/>
            <w:vAlign w:val="center"/>
          </w:tcPr>
          <w:p>
            <w:pPr>
              <w:widowControl/>
              <w:jc w:val="center"/>
              <w:rPr>
                <w:rFonts w:ascii="Times New Roman" w:hAnsi="Times New Roman" w:cs="Times New Roman"/>
                <w:sz w:val="24"/>
              </w:rPr>
            </w:pPr>
          </w:p>
        </w:tc>
        <w:tc>
          <w:tcPr>
            <w:tcW w:w="1585" w:type="dxa"/>
            <w:noWrap/>
            <w:vAlign w:val="center"/>
          </w:tcPr>
          <w:p>
            <w:pPr>
              <w:widowControl/>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6090" w:type="dxa"/>
            <w:noWrap/>
            <w:vAlign w:val="center"/>
          </w:tcPr>
          <w:p>
            <w:pPr>
              <w:widowControl/>
              <w:rPr>
                <w:rFonts w:ascii="Times New Roman" w:hAnsi="Times New Roman" w:cs="Times New Roman"/>
                <w:sz w:val="24"/>
              </w:rPr>
            </w:pPr>
            <w:r>
              <w:rPr>
                <w:rFonts w:ascii="Times New Roman" w:hAnsi="Times New Roman" w:cs="Times New Roman"/>
                <w:sz w:val="24"/>
              </w:rPr>
              <w:t>二、一般转移支付</w:t>
            </w:r>
          </w:p>
        </w:tc>
        <w:tc>
          <w:tcPr>
            <w:tcW w:w="1579" w:type="dxa"/>
            <w:noWrap/>
            <w:vAlign w:val="center"/>
          </w:tcPr>
          <w:p>
            <w:pPr>
              <w:widowControl/>
              <w:jc w:val="center"/>
              <w:rPr>
                <w:rFonts w:ascii="Times New Roman" w:hAnsi="Times New Roman" w:cs="Times New Roman"/>
                <w:sz w:val="24"/>
              </w:rPr>
            </w:pPr>
          </w:p>
        </w:tc>
        <w:tc>
          <w:tcPr>
            <w:tcW w:w="1585" w:type="dxa"/>
            <w:noWrap/>
            <w:vAlign w:val="center"/>
          </w:tcPr>
          <w:p>
            <w:pPr>
              <w:widowControl/>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6090" w:type="dxa"/>
            <w:noWrap/>
            <w:vAlign w:val="center"/>
          </w:tcPr>
          <w:p>
            <w:pPr>
              <w:widowControl/>
              <w:rPr>
                <w:rFonts w:ascii="Times New Roman" w:hAnsi="Times New Roman" w:cs="Times New Roman"/>
                <w:sz w:val="24"/>
              </w:rPr>
            </w:pPr>
            <w:r>
              <w:rPr>
                <w:rFonts w:ascii="Times New Roman" w:hAnsi="Times New Roman" w:cs="Times New Roman"/>
                <w:sz w:val="24"/>
              </w:rPr>
              <w:t>三、专项转移支付</w:t>
            </w:r>
          </w:p>
        </w:tc>
        <w:tc>
          <w:tcPr>
            <w:tcW w:w="1579" w:type="dxa"/>
            <w:noWrap/>
            <w:vAlign w:val="center"/>
          </w:tcPr>
          <w:p>
            <w:pPr>
              <w:widowControl/>
              <w:jc w:val="center"/>
              <w:rPr>
                <w:rFonts w:ascii="Times New Roman" w:hAnsi="Times New Roman" w:cs="Times New Roman"/>
                <w:sz w:val="24"/>
              </w:rPr>
            </w:pPr>
          </w:p>
        </w:tc>
        <w:tc>
          <w:tcPr>
            <w:tcW w:w="1585" w:type="dxa"/>
            <w:noWrap/>
            <w:vAlign w:val="center"/>
          </w:tcPr>
          <w:p>
            <w:pPr>
              <w:widowControl/>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6090" w:type="dxa"/>
            <w:noWrap/>
            <w:vAlign w:val="center"/>
          </w:tcPr>
          <w:p>
            <w:pPr>
              <w:widowControl/>
              <w:rPr>
                <w:rFonts w:ascii="Times New Roman" w:hAnsi="Times New Roman" w:cs="Times New Roman"/>
                <w:sz w:val="24"/>
              </w:rPr>
            </w:pPr>
            <w:r>
              <w:rPr>
                <w:rFonts w:ascii="Times New Roman" w:hAnsi="Times New Roman" w:cs="Times New Roman"/>
                <w:sz w:val="24"/>
              </w:rPr>
              <w:t xml:space="preserve">  其中：专项转移支付分地区</w:t>
            </w:r>
          </w:p>
        </w:tc>
        <w:tc>
          <w:tcPr>
            <w:tcW w:w="1579" w:type="dxa"/>
            <w:noWrap/>
            <w:vAlign w:val="center"/>
          </w:tcPr>
          <w:p>
            <w:pPr>
              <w:widowControl/>
              <w:jc w:val="center"/>
              <w:rPr>
                <w:rFonts w:ascii="Times New Roman" w:hAnsi="Times New Roman" w:cs="Times New Roman"/>
                <w:sz w:val="24"/>
              </w:rPr>
            </w:pPr>
          </w:p>
        </w:tc>
        <w:tc>
          <w:tcPr>
            <w:tcW w:w="1585" w:type="dxa"/>
            <w:noWrap/>
            <w:vAlign w:val="center"/>
          </w:tcPr>
          <w:p>
            <w:pPr>
              <w:widowControl/>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960" w:hRule="atLeast"/>
          <w:jc w:val="center"/>
        </w:trPr>
        <w:tc>
          <w:tcPr>
            <w:tcW w:w="6090" w:type="dxa"/>
            <w:noWrap/>
            <w:vAlign w:val="center"/>
          </w:tcPr>
          <w:p>
            <w:pPr>
              <w:widowControl/>
              <w:rPr>
                <w:rFonts w:ascii="Times New Roman" w:hAnsi="Times New Roman" w:cs="Times New Roman"/>
                <w:sz w:val="24"/>
              </w:rPr>
            </w:pPr>
            <w:r>
              <w:rPr>
                <w:rFonts w:ascii="Times New Roman" w:hAnsi="Times New Roman" w:cs="Times New Roman"/>
                <w:sz w:val="24"/>
              </w:rPr>
              <w:t xml:space="preserve">        专项转移支付分项目</w:t>
            </w:r>
          </w:p>
        </w:tc>
        <w:tc>
          <w:tcPr>
            <w:tcW w:w="1579" w:type="dxa"/>
            <w:noWrap/>
            <w:vAlign w:val="center"/>
          </w:tcPr>
          <w:p>
            <w:pPr>
              <w:widowControl/>
              <w:jc w:val="center"/>
              <w:rPr>
                <w:rFonts w:ascii="Times New Roman" w:hAnsi="Times New Roman" w:cs="Times New Roman"/>
                <w:sz w:val="24"/>
              </w:rPr>
            </w:pPr>
          </w:p>
        </w:tc>
        <w:tc>
          <w:tcPr>
            <w:tcW w:w="1585" w:type="dxa"/>
            <w:noWrap/>
            <w:vAlign w:val="center"/>
          </w:tcPr>
          <w:p>
            <w:pPr>
              <w:widowControl/>
              <w:jc w:val="center"/>
              <w:rPr>
                <w:rFonts w:ascii="Times New Roman" w:hAnsi="Times New Roman" w:cs="Times New Roman"/>
                <w:sz w:val="24"/>
              </w:rPr>
            </w:pPr>
          </w:p>
        </w:tc>
      </w:tr>
    </w:tbl>
    <w:p>
      <w:pPr>
        <w:widowControl/>
        <w:rPr>
          <w:rFonts w:eastAsia="楷体_GB2312"/>
          <w:sz w:val="22"/>
        </w:rPr>
      </w:pPr>
    </w:p>
    <w:tbl>
      <w:tblPr>
        <w:tblStyle w:val="10"/>
        <w:tblW w:w="8945" w:type="dxa"/>
        <w:jc w:val="center"/>
        <w:tblInd w:w="0" w:type="dxa"/>
        <w:tblLayout w:type="fixed"/>
        <w:tblCellMar>
          <w:top w:w="0" w:type="dxa"/>
          <w:left w:w="108" w:type="dxa"/>
          <w:bottom w:w="0" w:type="dxa"/>
          <w:right w:w="108" w:type="dxa"/>
        </w:tblCellMar>
      </w:tblPr>
      <w:tblGrid>
        <w:gridCol w:w="5904"/>
        <w:gridCol w:w="1518"/>
        <w:gridCol w:w="1523"/>
      </w:tblGrid>
      <w:tr>
        <w:tblPrEx>
          <w:tblLayout w:type="fixed"/>
          <w:tblCellMar>
            <w:top w:w="0" w:type="dxa"/>
            <w:left w:w="108" w:type="dxa"/>
            <w:bottom w:w="0" w:type="dxa"/>
            <w:right w:w="108" w:type="dxa"/>
          </w:tblCellMar>
        </w:tblPrEx>
        <w:trPr>
          <w:trHeight w:val="499" w:hRule="atLeast"/>
          <w:jc w:val="center"/>
        </w:trPr>
        <w:tc>
          <w:tcPr>
            <w:tcW w:w="5904" w:type="dxa"/>
            <w:noWrap/>
            <w:vAlign w:val="center"/>
          </w:tcPr>
          <w:p>
            <w:pPr>
              <w:widowControl/>
              <w:rPr>
                <w:rFonts w:eastAsia="楷体_GB2312"/>
                <w:sz w:val="22"/>
              </w:rPr>
            </w:pPr>
            <w:r>
              <w:rPr>
                <w:rFonts w:eastAsia="楷体_GB2312"/>
                <w:sz w:val="22"/>
              </w:rPr>
              <w:t>备注：我市无对下安排的税收返还和转移支付。</w:t>
            </w:r>
          </w:p>
        </w:tc>
        <w:tc>
          <w:tcPr>
            <w:tcW w:w="1518" w:type="dxa"/>
            <w:noWrap/>
            <w:vAlign w:val="bottom"/>
          </w:tcPr>
          <w:p>
            <w:pPr>
              <w:widowControl/>
              <w:rPr>
                <w:rFonts w:eastAsia="楷体_GB2312"/>
                <w:sz w:val="22"/>
              </w:rPr>
            </w:pPr>
          </w:p>
        </w:tc>
        <w:tc>
          <w:tcPr>
            <w:tcW w:w="1523" w:type="dxa"/>
            <w:noWrap/>
            <w:vAlign w:val="bottom"/>
          </w:tcPr>
          <w:p>
            <w:pPr>
              <w:widowControl/>
              <w:rPr>
                <w:rFonts w:eastAsia="楷体_GB2312"/>
                <w:sz w:val="22"/>
              </w:rPr>
            </w:pPr>
          </w:p>
        </w:tc>
      </w:tr>
    </w:tbl>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pStyle w:val="2"/>
        <w:rPr>
          <w:rFonts w:hint="default"/>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Times New Roman" w:hAnsi="Times New Roman" w:eastAsia="方正小标宋简体" w:cs="Times New Roman"/>
          <w:sz w:val="44"/>
          <w:szCs w:val="44"/>
        </w:rPr>
      </w:pPr>
    </w:p>
    <w:p>
      <w:pPr>
        <w:spacing w:line="560" w:lineRule="exact"/>
        <w:jc w:val="center"/>
        <w:textAlignment w:val="baseline"/>
        <w:rPr>
          <w:rFonts w:ascii="Times New Roman" w:hAnsi="Times New Roman" w:eastAsia="方正小标宋简体" w:cs="Times New Roman"/>
          <w:sz w:val="44"/>
          <w:szCs w:val="44"/>
        </w:rPr>
      </w:pPr>
    </w:p>
    <w:p>
      <w:pPr>
        <w:spacing w:line="560" w:lineRule="exact"/>
        <w:jc w:val="center"/>
        <w:textAlignment w:val="baseline"/>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2019年政府性基金转移支付决算表</w:t>
      </w:r>
    </w:p>
    <w:p>
      <w:pPr>
        <w:rPr>
          <w:rFonts w:ascii="Times New Roman" w:hAnsi="Times New Roman" w:eastAsia="楷体_GB2312" w:cs="Times New Roman"/>
          <w:sz w:val="24"/>
        </w:rPr>
      </w:pPr>
    </w:p>
    <w:p>
      <w:pPr>
        <w:spacing w:after="156" w:afterLines="50" w:line="400" w:lineRule="exact"/>
        <w:jc w:val="center"/>
        <w:rPr>
          <w:rFonts w:ascii="楷体_GB2312" w:hAnsi="宋体" w:eastAsia="楷体_GB2312" w:cs="宋体"/>
          <w:kern w:val="0"/>
          <w:sz w:val="24"/>
          <w:szCs w:val="24"/>
        </w:rPr>
      </w:pPr>
      <w:r>
        <w:rPr>
          <w:rFonts w:ascii="楷体_GB2312" w:hAnsi="宋体" w:eastAsia="楷体_GB2312" w:cs="宋体"/>
          <w:kern w:val="0"/>
          <w:sz w:val="24"/>
          <w:szCs w:val="24"/>
        </w:rPr>
        <w:t>表十</w:t>
      </w:r>
      <w:r>
        <w:rPr>
          <w:rFonts w:hint="eastAsia" w:ascii="楷体_GB2312" w:hAnsi="宋体" w:eastAsia="楷体_GB2312" w:cs="宋体"/>
          <w:kern w:val="0"/>
          <w:sz w:val="24"/>
          <w:szCs w:val="24"/>
        </w:rPr>
        <w:t>三</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ascii="楷体_GB2312" w:hAnsi="宋体" w:eastAsia="楷体_GB2312" w:cs="宋体"/>
          <w:kern w:val="0"/>
          <w:sz w:val="24"/>
          <w:szCs w:val="24"/>
        </w:rPr>
        <w:t xml:space="preserve">                                          单位：万元</w:t>
      </w:r>
    </w:p>
    <w:tbl>
      <w:tblPr>
        <w:tblStyle w:val="10"/>
        <w:tblW w:w="91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4924"/>
        <w:gridCol w:w="2112"/>
        <w:gridCol w:w="21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57" w:hRule="atLeast"/>
          <w:jc w:val="center"/>
        </w:trPr>
        <w:tc>
          <w:tcPr>
            <w:tcW w:w="4924" w:type="dxa"/>
            <w:noWrap/>
            <w:vAlign w:val="center"/>
          </w:tcPr>
          <w:p>
            <w:pPr>
              <w:widowControl/>
              <w:jc w:val="center"/>
              <w:rPr>
                <w:rFonts w:ascii="Times New Roman" w:hAnsi="Times New Roman" w:eastAsia="黑体" w:cs="Times New Roman"/>
                <w:sz w:val="24"/>
              </w:rPr>
            </w:pPr>
            <w:r>
              <w:rPr>
                <w:rFonts w:ascii="Times New Roman" w:hAnsi="Times New Roman" w:eastAsia="黑体" w:cs="Times New Roman"/>
                <w:sz w:val="24"/>
              </w:rPr>
              <w:t>项     目</w:t>
            </w:r>
          </w:p>
        </w:tc>
        <w:tc>
          <w:tcPr>
            <w:tcW w:w="2112" w:type="dxa"/>
            <w:noWrap/>
            <w:vAlign w:val="center"/>
          </w:tcPr>
          <w:p>
            <w:pPr>
              <w:widowControl/>
              <w:jc w:val="center"/>
              <w:rPr>
                <w:rFonts w:ascii="Times New Roman" w:hAnsi="Times New Roman" w:eastAsia="黑体" w:cs="Times New Roman"/>
                <w:sz w:val="24"/>
              </w:rPr>
            </w:pPr>
            <w:r>
              <w:rPr>
                <w:rFonts w:ascii="Times New Roman" w:hAnsi="Times New Roman" w:eastAsia="黑体" w:cs="Times New Roman"/>
                <w:sz w:val="24"/>
              </w:rPr>
              <w:t>201</w:t>
            </w:r>
            <w:r>
              <w:rPr>
                <w:rFonts w:hint="eastAsia" w:ascii="Times New Roman" w:hAnsi="Times New Roman" w:eastAsia="黑体" w:cs="Times New Roman"/>
                <w:sz w:val="24"/>
              </w:rPr>
              <w:t>9</w:t>
            </w:r>
            <w:r>
              <w:rPr>
                <w:rFonts w:ascii="Times New Roman" w:hAnsi="Times New Roman" w:eastAsia="黑体" w:cs="Times New Roman"/>
                <w:sz w:val="24"/>
              </w:rPr>
              <w:t>年预算数</w:t>
            </w:r>
          </w:p>
        </w:tc>
        <w:tc>
          <w:tcPr>
            <w:tcW w:w="2119" w:type="dxa"/>
            <w:noWrap/>
            <w:vAlign w:val="center"/>
          </w:tcPr>
          <w:p>
            <w:pPr>
              <w:widowControl/>
              <w:jc w:val="center"/>
              <w:rPr>
                <w:rFonts w:ascii="Times New Roman" w:hAnsi="Times New Roman" w:eastAsia="黑体" w:cs="Times New Roman"/>
                <w:sz w:val="24"/>
              </w:rPr>
            </w:pPr>
            <w:r>
              <w:rPr>
                <w:rFonts w:ascii="Times New Roman" w:hAnsi="Times New Roman" w:eastAsia="黑体" w:cs="Times New Roman"/>
                <w:sz w:val="24"/>
              </w:rPr>
              <w:t>201</w:t>
            </w:r>
            <w:r>
              <w:rPr>
                <w:rFonts w:hint="eastAsia" w:ascii="Times New Roman" w:hAnsi="Times New Roman" w:eastAsia="黑体" w:cs="Times New Roman"/>
                <w:sz w:val="24"/>
              </w:rPr>
              <w:t>9</w:t>
            </w:r>
            <w:r>
              <w:rPr>
                <w:rFonts w:ascii="Times New Roman" w:hAnsi="Times New Roman" w:eastAsia="黑体" w:cs="Times New Roman"/>
                <w:sz w:val="24"/>
              </w:rPr>
              <w:t>年执行数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857" w:hRule="atLeast"/>
          <w:jc w:val="center"/>
        </w:trPr>
        <w:tc>
          <w:tcPr>
            <w:tcW w:w="4924" w:type="dxa"/>
            <w:noWrap/>
            <w:vAlign w:val="center"/>
          </w:tcPr>
          <w:p>
            <w:pPr>
              <w:widowControl/>
              <w:rPr>
                <w:rFonts w:ascii="Times New Roman" w:hAnsi="Times New Roman" w:cs="Times New Roman"/>
                <w:sz w:val="24"/>
              </w:rPr>
            </w:pPr>
            <w:r>
              <w:rPr>
                <w:rFonts w:ascii="Times New Roman" w:hAnsi="Times New Roman" w:cs="Times New Roman"/>
                <w:sz w:val="24"/>
              </w:rPr>
              <w:t>政府性基金转移支付</w:t>
            </w:r>
          </w:p>
        </w:tc>
        <w:tc>
          <w:tcPr>
            <w:tcW w:w="2112" w:type="dxa"/>
            <w:noWrap/>
            <w:vAlign w:val="center"/>
          </w:tcPr>
          <w:p>
            <w:pPr>
              <w:widowControl/>
              <w:jc w:val="center"/>
              <w:rPr>
                <w:rFonts w:ascii="Times New Roman" w:hAnsi="Times New Roman" w:cs="Times New Roman"/>
                <w:sz w:val="24"/>
              </w:rPr>
            </w:pPr>
          </w:p>
        </w:tc>
        <w:tc>
          <w:tcPr>
            <w:tcW w:w="2119" w:type="dxa"/>
            <w:noWrap/>
            <w:vAlign w:val="center"/>
          </w:tcPr>
          <w:p>
            <w:pPr>
              <w:widowControl/>
              <w:jc w:val="center"/>
              <w:rPr>
                <w:rFonts w:ascii="Times New Roman" w:hAnsi="Times New Roman" w:cs="Times New Roman"/>
                <w:sz w:val="24"/>
              </w:rPr>
            </w:pPr>
          </w:p>
        </w:tc>
      </w:tr>
    </w:tbl>
    <w:p>
      <w:pPr>
        <w:pStyle w:val="3"/>
        <w:spacing w:line="560" w:lineRule="exact"/>
        <w:ind w:firstLineChars="200"/>
        <w:textAlignment w:val="baseline"/>
        <w:rPr>
          <w:rFonts w:ascii="Times New Roman" w:hAnsi="Times New Roman" w:cs="Times New Roman"/>
          <w:kern w:val="2"/>
        </w:rPr>
      </w:pPr>
    </w:p>
    <w:tbl>
      <w:tblPr>
        <w:tblStyle w:val="10"/>
        <w:tblW w:w="8856" w:type="dxa"/>
        <w:jc w:val="center"/>
        <w:tblInd w:w="0" w:type="dxa"/>
        <w:tblLayout w:type="fixed"/>
        <w:tblCellMar>
          <w:top w:w="0" w:type="dxa"/>
          <w:left w:w="108" w:type="dxa"/>
          <w:bottom w:w="0" w:type="dxa"/>
          <w:right w:w="108" w:type="dxa"/>
        </w:tblCellMar>
      </w:tblPr>
      <w:tblGrid>
        <w:gridCol w:w="4763"/>
        <w:gridCol w:w="2043"/>
        <w:gridCol w:w="2050"/>
      </w:tblGrid>
      <w:tr>
        <w:tblPrEx>
          <w:tblLayout w:type="fixed"/>
          <w:tblCellMar>
            <w:top w:w="0" w:type="dxa"/>
            <w:left w:w="108" w:type="dxa"/>
            <w:bottom w:w="0" w:type="dxa"/>
            <w:right w:w="108" w:type="dxa"/>
          </w:tblCellMar>
        </w:tblPrEx>
        <w:trPr>
          <w:trHeight w:val="340" w:hRule="atLeast"/>
          <w:jc w:val="center"/>
        </w:trPr>
        <w:tc>
          <w:tcPr>
            <w:tcW w:w="4763" w:type="dxa"/>
            <w:noWrap/>
            <w:vAlign w:val="center"/>
          </w:tcPr>
          <w:p>
            <w:pPr>
              <w:widowControl/>
              <w:rPr>
                <w:rFonts w:ascii="Times New Roman" w:hAnsi="Times New Roman" w:cs="Times New Roman"/>
                <w:sz w:val="22"/>
              </w:rPr>
            </w:pPr>
            <w:r>
              <w:rPr>
                <w:rFonts w:ascii="Times New Roman" w:hAnsi="Times New Roman" w:eastAsia="楷体_GB2312" w:cs="Times New Roman"/>
                <w:sz w:val="22"/>
              </w:rPr>
              <w:t>备注：我市无对下安排的转移支付。</w:t>
            </w:r>
          </w:p>
        </w:tc>
        <w:tc>
          <w:tcPr>
            <w:tcW w:w="2043" w:type="dxa"/>
            <w:noWrap/>
            <w:vAlign w:val="center"/>
          </w:tcPr>
          <w:p>
            <w:pPr>
              <w:widowControl/>
              <w:jc w:val="left"/>
              <w:rPr>
                <w:rFonts w:ascii="Times New Roman" w:hAnsi="Times New Roman" w:cs="Times New Roman"/>
                <w:sz w:val="24"/>
              </w:rPr>
            </w:pPr>
          </w:p>
        </w:tc>
        <w:tc>
          <w:tcPr>
            <w:tcW w:w="2050" w:type="dxa"/>
            <w:noWrap/>
            <w:vAlign w:val="center"/>
          </w:tcPr>
          <w:p>
            <w:pPr>
              <w:widowControl/>
              <w:jc w:val="left"/>
              <w:rPr>
                <w:rFonts w:ascii="Times New Roman" w:hAnsi="Times New Roman" w:cs="Times New Roman"/>
                <w:sz w:val="24"/>
              </w:rPr>
            </w:pPr>
          </w:p>
        </w:tc>
      </w:tr>
    </w:tbl>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center"/>
        <w:textAlignment w:val="baseline"/>
        <w:rPr>
          <w:rFonts w:ascii="方正小标宋简体" w:eastAsia="方正小标宋简体"/>
          <w:sz w:val="44"/>
          <w:szCs w:val="44"/>
        </w:rPr>
      </w:pPr>
    </w:p>
    <w:p>
      <w:pPr>
        <w:spacing w:line="560" w:lineRule="exact"/>
        <w:jc w:val="both"/>
        <w:textAlignment w:val="baseline"/>
        <w:rPr>
          <w:rFonts w:ascii="方正小标宋简体" w:eastAsia="方正小标宋简体"/>
          <w:sz w:val="44"/>
          <w:szCs w:val="44"/>
        </w:rPr>
      </w:pPr>
    </w:p>
    <w:p>
      <w:pPr>
        <w:spacing w:line="560" w:lineRule="exact"/>
        <w:jc w:val="center"/>
        <w:textAlignment w:val="baseline"/>
        <w:rPr>
          <w:rFonts w:ascii="Times New Roman" w:hAnsi="Times New Roman" w:eastAsia="方正小标宋简体" w:cs="Times New Roman"/>
          <w:sz w:val="44"/>
          <w:szCs w:val="44"/>
        </w:rPr>
      </w:pPr>
    </w:p>
    <w:p>
      <w:pPr>
        <w:spacing w:line="560" w:lineRule="exact"/>
        <w:jc w:val="center"/>
        <w:textAlignment w:val="baseline"/>
        <w:rPr>
          <w:rFonts w:ascii="Times New Roman" w:hAnsi="Times New Roman" w:eastAsia="方正小标宋简体" w:cs="Times New Roman"/>
          <w:sz w:val="44"/>
          <w:szCs w:val="44"/>
        </w:rPr>
      </w:pPr>
    </w:p>
    <w:p>
      <w:pPr>
        <w:spacing w:line="560" w:lineRule="exact"/>
        <w:jc w:val="center"/>
        <w:textAlignment w:val="baseline"/>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兰溪市2019年“三公”经费决算情况</w:t>
      </w:r>
    </w:p>
    <w:p>
      <w:pPr>
        <w:widowControl/>
        <w:tabs>
          <w:tab w:val="left" w:pos="180"/>
        </w:tabs>
        <w:spacing w:line="560" w:lineRule="exact"/>
        <w:ind w:firstLine="640" w:firstLineChars="200"/>
        <w:rPr>
          <w:rFonts w:ascii="Times New Roman" w:hAnsi="Times New Roman" w:eastAsia="仿宋_GB2312" w:cs="Times New Roman"/>
          <w:sz w:val="32"/>
          <w:szCs w:val="32"/>
        </w:rPr>
      </w:pPr>
    </w:p>
    <w:p>
      <w:pPr>
        <w:pStyle w:val="3"/>
        <w:spacing w:line="560" w:lineRule="exact"/>
        <w:ind w:firstLineChars="200"/>
        <w:textAlignment w:val="baseline"/>
        <w:rPr>
          <w:rFonts w:ascii="Times New Roman" w:hAnsi="Times New Roman" w:cs="Times New Roman"/>
          <w:kern w:val="2"/>
        </w:rPr>
      </w:pPr>
      <w:r>
        <w:rPr>
          <w:rFonts w:ascii="Times New Roman" w:hAnsi="Times New Roman" w:cs="Times New Roman"/>
          <w:kern w:val="2"/>
        </w:rPr>
        <w:t>2019年，全市“三公”经费支出1681万元，同比增加13.8%，其中一般公共预算安排支出1430万元，增加4.5%。分项目情况为：因公出国（境）费59万元，增加227.8%，其中一般公共预算安排支出33万元，增加83.3%。公务接待费316万元，下降14.8%，其中一般公共预算安排支出269万元，下降15.9%，主要是厉行节约，接待量减少。公务用车购置及运行费1306万元，增加20.0%，其中公务用车购置费226万元，主要是车辆达到报废年限进行更新，公务用车运行费1080万元，下降0.7%；公务用车购置及运行费中一般公共预算安排支出1129万元，增加9.5%，其中公务用车购置费88万元，增加100.0%，公务用车运行费1041万元，增加1.0%。</w:t>
      </w:r>
    </w:p>
    <w:p>
      <w:pPr>
        <w:widowControl/>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兰溪市2019年“三公”经费决算表</w:t>
      </w:r>
    </w:p>
    <w:p>
      <w:pPr>
        <w:jc w:val="center"/>
        <w:rPr>
          <w:rFonts w:ascii="Times New Roman" w:hAnsi="Times New Roman" w:eastAsia="楷体_GB2312" w:cs="Times New Roman"/>
          <w:sz w:val="24"/>
        </w:rPr>
      </w:pPr>
    </w:p>
    <w:p>
      <w:pPr>
        <w:spacing w:after="156" w:afterLines="50" w:line="400" w:lineRule="exact"/>
        <w:jc w:val="center"/>
        <w:rPr>
          <w:rFonts w:ascii="楷体_GB2312" w:hAnsi="宋体" w:eastAsia="楷体_GB2312" w:cs="宋体"/>
          <w:kern w:val="0"/>
          <w:sz w:val="24"/>
          <w:szCs w:val="24"/>
        </w:rPr>
      </w:pPr>
      <w:r>
        <w:rPr>
          <w:rFonts w:ascii="楷体_GB2312" w:hAnsi="宋体" w:eastAsia="楷体_GB2312" w:cs="宋体"/>
          <w:kern w:val="0"/>
          <w:sz w:val="24"/>
          <w:szCs w:val="24"/>
        </w:rPr>
        <w:t>表十</w:t>
      </w:r>
      <w:r>
        <w:rPr>
          <w:rFonts w:hint="eastAsia" w:ascii="楷体_GB2312" w:hAnsi="宋体" w:eastAsia="楷体_GB2312" w:cs="宋体"/>
          <w:kern w:val="0"/>
          <w:sz w:val="24"/>
          <w:szCs w:val="24"/>
        </w:rPr>
        <w:t>四</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ascii="楷体_GB2312" w:hAnsi="宋体" w:eastAsia="楷体_GB2312" w:cs="宋体"/>
          <w:kern w:val="0"/>
          <w:sz w:val="24"/>
          <w:szCs w:val="24"/>
        </w:rPr>
        <w:t xml:space="preserve">             单位：万元</w:t>
      </w:r>
    </w:p>
    <w:tbl>
      <w:tblPr>
        <w:tblStyle w:val="10"/>
        <w:tblW w:w="8972" w:type="dxa"/>
        <w:jc w:val="center"/>
        <w:tblInd w:w="0" w:type="dxa"/>
        <w:tblLayout w:type="fixed"/>
        <w:tblCellMar>
          <w:top w:w="0" w:type="dxa"/>
          <w:left w:w="28" w:type="dxa"/>
          <w:bottom w:w="0" w:type="dxa"/>
          <w:right w:w="28" w:type="dxa"/>
        </w:tblCellMar>
      </w:tblPr>
      <w:tblGrid>
        <w:gridCol w:w="2730"/>
        <w:gridCol w:w="776"/>
        <w:gridCol w:w="1131"/>
        <w:gridCol w:w="843"/>
        <w:gridCol w:w="1230"/>
        <w:gridCol w:w="1131"/>
        <w:gridCol w:w="1131"/>
      </w:tblGrid>
      <w:tr>
        <w:tblPrEx>
          <w:tblLayout w:type="fixed"/>
          <w:tblCellMar>
            <w:top w:w="0" w:type="dxa"/>
            <w:left w:w="28" w:type="dxa"/>
            <w:bottom w:w="0" w:type="dxa"/>
            <w:right w:w="28" w:type="dxa"/>
          </w:tblCellMar>
        </w:tblPrEx>
        <w:trPr>
          <w:trHeight w:val="351" w:hRule="atLeast"/>
          <w:jc w:val="center"/>
        </w:trPr>
        <w:tc>
          <w:tcPr>
            <w:tcW w:w="2730" w:type="dxa"/>
            <w:vMerge w:val="restart"/>
            <w:tcBorders>
              <w:top w:val="single" w:color="auto" w:sz="12" w:space="0"/>
              <w:left w:val="single" w:color="auto" w:sz="12" w:space="0"/>
              <w:bottom w:val="single" w:color="auto" w:sz="6" w:space="0"/>
              <w:right w:val="single" w:color="auto" w:sz="6" w:space="0"/>
            </w:tcBorders>
            <w:vAlign w:val="center"/>
          </w:tcPr>
          <w:p>
            <w:pPr>
              <w:tabs>
                <w:tab w:val="left" w:pos="180"/>
              </w:tabs>
              <w:spacing w:line="450" w:lineRule="atLeast"/>
              <w:jc w:val="center"/>
              <w:rPr>
                <w:rFonts w:ascii="Times New Roman" w:hAnsi="Times New Roman" w:eastAsia="黑体" w:cs="Times New Roman"/>
                <w:sz w:val="24"/>
              </w:rPr>
            </w:pPr>
            <w:r>
              <w:rPr>
                <w:rFonts w:ascii="Times New Roman" w:hAnsi="Times New Roman" w:eastAsia="黑体" w:cs="Times New Roman"/>
                <w:sz w:val="24"/>
              </w:rPr>
              <w:t>项     目</w:t>
            </w:r>
          </w:p>
        </w:tc>
        <w:tc>
          <w:tcPr>
            <w:tcW w:w="1907" w:type="dxa"/>
            <w:gridSpan w:val="2"/>
            <w:tcBorders>
              <w:top w:val="single" w:color="auto" w:sz="12" w:space="0"/>
              <w:left w:val="single" w:color="auto" w:sz="6" w:space="0"/>
              <w:bottom w:val="single" w:color="auto" w:sz="6" w:space="0"/>
              <w:right w:val="single" w:color="auto" w:sz="6" w:space="0"/>
            </w:tcBorders>
            <w:vAlign w:val="center"/>
          </w:tcPr>
          <w:p>
            <w:pPr>
              <w:widowControl/>
              <w:tabs>
                <w:tab w:val="left" w:pos="180"/>
              </w:tabs>
              <w:spacing w:line="300" w:lineRule="exact"/>
              <w:jc w:val="center"/>
              <w:rPr>
                <w:rFonts w:ascii="Times New Roman" w:hAnsi="Times New Roman" w:eastAsia="黑体" w:cs="Times New Roman"/>
                <w:sz w:val="24"/>
              </w:rPr>
            </w:pPr>
            <w:r>
              <w:rPr>
                <w:rFonts w:ascii="Times New Roman" w:hAnsi="Times New Roman" w:eastAsia="黑体" w:cs="Times New Roman"/>
                <w:sz w:val="24"/>
              </w:rPr>
              <w:t>2019年决算数</w:t>
            </w:r>
          </w:p>
        </w:tc>
        <w:tc>
          <w:tcPr>
            <w:tcW w:w="2073" w:type="dxa"/>
            <w:gridSpan w:val="2"/>
            <w:tcBorders>
              <w:top w:val="single" w:color="auto" w:sz="12" w:space="0"/>
              <w:left w:val="single" w:color="auto" w:sz="6" w:space="0"/>
              <w:bottom w:val="single" w:color="auto" w:sz="6" w:space="0"/>
              <w:right w:val="single" w:color="auto" w:sz="6" w:space="0"/>
            </w:tcBorders>
            <w:vAlign w:val="center"/>
          </w:tcPr>
          <w:p>
            <w:pPr>
              <w:widowControl/>
              <w:tabs>
                <w:tab w:val="left" w:pos="180"/>
              </w:tabs>
              <w:spacing w:line="300" w:lineRule="exact"/>
              <w:jc w:val="center"/>
              <w:rPr>
                <w:rFonts w:ascii="Times New Roman" w:hAnsi="Times New Roman" w:eastAsia="黑体" w:cs="Times New Roman"/>
                <w:sz w:val="24"/>
              </w:rPr>
            </w:pPr>
            <w:r>
              <w:rPr>
                <w:rFonts w:ascii="Times New Roman" w:hAnsi="Times New Roman" w:eastAsia="黑体" w:cs="Times New Roman"/>
                <w:sz w:val="24"/>
              </w:rPr>
              <w:t>2018年决算数</w:t>
            </w:r>
          </w:p>
        </w:tc>
        <w:tc>
          <w:tcPr>
            <w:tcW w:w="2262" w:type="dxa"/>
            <w:gridSpan w:val="2"/>
            <w:tcBorders>
              <w:top w:val="single" w:color="auto" w:sz="12" w:space="0"/>
              <w:left w:val="single" w:color="auto" w:sz="6" w:space="0"/>
              <w:bottom w:val="single" w:color="auto" w:sz="6" w:space="0"/>
              <w:right w:val="single" w:color="auto" w:sz="12" w:space="0"/>
            </w:tcBorders>
            <w:vAlign w:val="center"/>
          </w:tcPr>
          <w:p>
            <w:pPr>
              <w:widowControl/>
              <w:tabs>
                <w:tab w:val="left" w:pos="180"/>
              </w:tabs>
              <w:spacing w:line="300" w:lineRule="exact"/>
              <w:jc w:val="center"/>
              <w:rPr>
                <w:rFonts w:ascii="Times New Roman" w:hAnsi="Times New Roman" w:eastAsia="黑体" w:cs="Times New Roman"/>
                <w:sz w:val="24"/>
              </w:rPr>
            </w:pPr>
            <w:r>
              <w:rPr>
                <w:rFonts w:ascii="Times New Roman" w:hAnsi="Times New Roman" w:eastAsia="黑体" w:cs="Times New Roman"/>
                <w:sz w:val="24"/>
              </w:rPr>
              <w:t>比上年增减（%）</w:t>
            </w:r>
          </w:p>
        </w:tc>
      </w:tr>
      <w:tr>
        <w:tblPrEx>
          <w:tblLayout w:type="fixed"/>
          <w:tblCellMar>
            <w:top w:w="0" w:type="dxa"/>
            <w:left w:w="28" w:type="dxa"/>
            <w:bottom w:w="0" w:type="dxa"/>
            <w:right w:w="28" w:type="dxa"/>
          </w:tblCellMar>
        </w:tblPrEx>
        <w:trPr>
          <w:trHeight w:val="907" w:hRule="atLeast"/>
          <w:jc w:val="center"/>
        </w:trPr>
        <w:tc>
          <w:tcPr>
            <w:tcW w:w="2730" w:type="dxa"/>
            <w:vMerge w:val="continue"/>
            <w:tcBorders>
              <w:top w:val="single" w:color="auto" w:sz="6" w:space="0"/>
              <w:left w:val="single" w:color="auto" w:sz="12" w:space="0"/>
              <w:bottom w:val="single" w:color="auto" w:sz="6" w:space="0"/>
              <w:right w:val="single" w:color="auto" w:sz="6" w:space="0"/>
            </w:tcBorders>
            <w:vAlign w:val="center"/>
          </w:tcPr>
          <w:p>
            <w:pPr>
              <w:widowControl/>
              <w:tabs>
                <w:tab w:val="left" w:pos="180"/>
              </w:tabs>
              <w:spacing w:line="450" w:lineRule="atLeast"/>
              <w:jc w:val="center"/>
              <w:rPr>
                <w:rFonts w:ascii="Times New Roman" w:hAnsi="Times New Roman" w:eastAsia="黑体" w:cs="Times New Roman"/>
                <w:sz w:val="24"/>
              </w:rPr>
            </w:pPr>
          </w:p>
        </w:tc>
        <w:tc>
          <w:tcPr>
            <w:tcW w:w="776" w:type="dxa"/>
            <w:tcBorders>
              <w:top w:val="single" w:color="auto" w:sz="6" w:space="0"/>
              <w:left w:val="single" w:color="auto" w:sz="6" w:space="0"/>
              <w:bottom w:val="single" w:color="auto" w:sz="6" w:space="0"/>
              <w:right w:val="single" w:color="auto" w:sz="6" w:space="0"/>
            </w:tcBorders>
            <w:vAlign w:val="center"/>
          </w:tcPr>
          <w:p>
            <w:pPr>
              <w:widowControl/>
              <w:tabs>
                <w:tab w:val="left" w:pos="180"/>
              </w:tabs>
              <w:spacing w:line="300" w:lineRule="atLeast"/>
              <w:jc w:val="center"/>
              <w:rPr>
                <w:rFonts w:ascii="Times New Roman" w:hAnsi="Times New Roman" w:eastAsia="黑体" w:cs="Times New Roman"/>
                <w:sz w:val="24"/>
              </w:rPr>
            </w:pPr>
            <w:r>
              <w:rPr>
                <w:rFonts w:ascii="Times New Roman" w:hAnsi="Times New Roman" w:eastAsia="黑体" w:cs="Times New Roman"/>
                <w:sz w:val="24"/>
              </w:rPr>
              <w:t>合计</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tabs>
                <w:tab w:val="left" w:pos="180"/>
              </w:tabs>
              <w:spacing w:line="300" w:lineRule="exact"/>
              <w:jc w:val="center"/>
              <w:rPr>
                <w:rFonts w:ascii="Times New Roman" w:hAnsi="Times New Roman" w:eastAsia="黑体" w:cs="Times New Roman"/>
                <w:spacing w:val="-10"/>
                <w:sz w:val="24"/>
              </w:rPr>
            </w:pPr>
            <w:r>
              <w:rPr>
                <w:rFonts w:ascii="Times New Roman" w:hAnsi="Times New Roman" w:eastAsia="黑体" w:cs="Times New Roman"/>
                <w:spacing w:val="-10"/>
                <w:sz w:val="24"/>
              </w:rPr>
              <w:t>其中一般公共财政预算拨款</w:t>
            </w:r>
          </w:p>
        </w:tc>
        <w:tc>
          <w:tcPr>
            <w:tcW w:w="843" w:type="dxa"/>
            <w:tcBorders>
              <w:top w:val="single" w:color="auto" w:sz="6" w:space="0"/>
              <w:left w:val="single" w:color="auto" w:sz="6" w:space="0"/>
              <w:bottom w:val="single" w:color="auto" w:sz="6" w:space="0"/>
              <w:right w:val="single" w:color="auto" w:sz="6" w:space="0"/>
            </w:tcBorders>
            <w:vAlign w:val="center"/>
          </w:tcPr>
          <w:p>
            <w:pPr>
              <w:widowControl/>
              <w:tabs>
                <w:tab w:val="left" w:pos="180"/>
              </w:tabs>
              <w:spacing w:line="300" w:lineRule="atLeast"/>
              <w:jc w:val="center"/>
              <w:rPr>
                <w:rFonts w:ascii="Times New Roman" w:hAnsi="Times New Roman" w:eastAsia="黑体" w:cs="Times New Roman"/>
                <w:sz w:val="24"/>
              </w:rPr>
            </w:pPr>
            <w:r>
              <w:rPr>
                <w:rFonts w:ascii="Times New Roman" w:hAnsi="Times New Roman" w:eastAsia="黑体" w:cs="Times New Roman"/>
                <w:sz w:val="24"/>
              </w:rPr>
              <w:t>合计</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tabs>
                <w:tab w:val="left" w:pos="180"/>
              </w:tabs>
              <w:spacing w:line="300" w:lineRule="exact"/>
              <w:jc w:val="center"/>
              <w:rPr>
                <w:rFonts w:ascii="Times New Roman" w:hAnsi="Times New Roman" w:eastAsia="黑体" w:cs="Times New Roman"/>
                <w:spacing w:val="-10"/>
                <w:sz w:val="24"/>
              </w:rPr>
            </w:pPr>
            <w:r>
              <w:rPr>
                <w:rFonts w:ascii="Times New Roman" w:hAnsi="Times New Roman" w:eastAsia="黑体" w:cs="Times New Roman"/>
                <w:spacing w:val="-10"/>
                <w:sz w:val="24"/>
              </w:rPr>
              <w:t>其中一般公共财政预算拨款</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tabs>
                <w:tab w:val="left" w:pos="180"/>
              </w:tabs>
              <w:spacing w:line="300" w:lineRule="exact"/>
              <w:jc w:val="center"/>
              <w:rPr>
                <w:rFonts w:ascii="Times New Roman" w:hAnsi="Times New Roman" w:eastAsia="黑体" w:cs="Times New Roman"/>
                <w:sz w:val="24"/>
              </w:rPr>
            </w:pPr>
            <w:r>
              <w:rPr>
                <w:rFonts w:ascii="Times New Roman" w:hAnsi="Times New Roman" w:eastAsia="黑体" w:cs="Times New Roman"/>
                <w:sz w:val="24"/>
              </w:rPr>
              <w:t>合计</w:t>
            </w:r>
          </w:p>
        </w:tc>
        <w:tc>
          <w:tcPr>
            <w:tcW w:w="1131" w:type="dxa"/>
            <w:tcBorders>
              <w:top w:val="single" w:color="auto" w:sz="6" w:space="0"/>
              <w:left w:val="single" w:color="auto" w:sz="6" w:space="0"/>
              <w:bottom w:val="single" w:color="auto" w:sz="6" w:space="0"/>
              <w:right w:val="single" w:color="auto" w:sz="12" w:space="0"/>
            </w:tcBorders>
            <w:vAlign w:val="center"/>
          </w:tcPr>
          <w:p>
            <w:pPr>
              <w:widowControl/>
              <w:tabs>
                <w:tab w:val="left" w:pos="180"/>
              </w:tabs>
              <w:spacing w:line="300" w:lineRule="exact"/>
              <w:jc w:val="center"/>
              <w:rPr>
                <w:rFonts w:ascii="Times New Roman" w:hAnsi="Times New Roman" w:eastAsia="黑体" w:cs="Times New Roman"/>
                <w:spacing w:val="-10"/>
                <w:sz w:val="24"/>
              </w:rPr>
            </w:pPr>
            <w:r>
              <w:rPr>
                <w:rFonts w:ascii="Times New Roman" w:hAnsi="Times New Roman" w:eastAsia="黑体" w:cs="Times New Roman"/>
                <w:spacing w:val="-10"/>
                <w:sz w:val="24"/>
              </w:rPr>
              <w:t>其中一般公共财政预算拨款</w:t>
            </w:r>
          </w:p>
        </w:tc>
      </w:tr>
      <w:tr>
        <w:tblPrEx>
          <w:tblLayout w:type="fixed"/>
          <w:tblCellMar>
            <w:top w:w="0" w:type="dxa"/>
            <w:left w:w="28" w:type="dxa"/>
            <w:bottom w:w="0" w:type="dxa"/>
            <w:right w:w="28" w:type="dxa"/>
          </w:tblCellMar>
        </w:tblPrEx>
        <w:trPr>
          <w:trHeight w:val="553" w:hRule="atLeast"/>
          <w:jc w:val="center"/>
        </w:trPr>
        <w:tc>
          <w:tcPr>
            <w:tcW w:w="2730" w:type="dxa"/>
            <w:tcBorders>
              <w:top w:val="single" w:color="auto" w:sz="6" w:space="0"/>
              <w:left w:val="single" w:color="auto" w:sz="12" w:space="0"/>
              <w:bottom w:val="single" w:color="auto" w:sz="6" w:space="0"/>
              <w:right w:val="single" w:color="auto" w:sz="6" w:space="0"/>
            </w:tcBorders>
          </w:tcPr>
          <w:p>
            <w:pPr>
              <w:widowControl/>
              <w:tabs>
                <w:tab w:val="left" w:pos="180"/>
              </w:tabs>
              <w:spacing w:line="450" w:lineRule="atLeast"/>
              <w:jc w:val="center"/>
              <w:rPr>
                <w:rFonts w:ascii="Times New Roman" w:hAnsi="Times New Roman" w:eastAsia="宋体" w:cs="Times New Roman"/>
                <w:sz w:val="24"/>
              </w:rPr>
            </w:pPr>
            <w:r>
              <w:rPr>
                <w:rFonts w:ascii="Times New Roman" w:hAnsi="Times New Roman" w:eastAsia="宋体" w:cs="Times New Roman"/>
                <w:bCs/>
                <w:sz w:val="24"/>
              </w:rPr>
              <w:t>合   计</w:t>
            </w:r>
          </w:p>
        </w:tc>
        <w:tc>
          <w:tcPr>
            <w:tcW w:w="7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1681</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1430</w:t>
            </w:r>
          </w:p>
        </w:tc>
        <w:tc>
          <w:tcPr>
            <w:tcW w:w="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1477</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1369</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13.8</w:t>
            </w:r>
          </w:p>
        </w:tc>
        <w:tc>
          <w:tcPr>
            <w:tcW w:w="113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4.5</w:t>
            </w:r>
          </w:p>
        </w:tc>
      </w:tr>
      <w:tr>
        <w:tblPrEx>
          <w:tblLayout w:type="fixed"/>
          <w:tblCellMar>
            <w:top w:w="0" w:type="dxa"/>
            <w:left w:w="28" w:type="dxa"/>
            <w:bottom w:w="0" w:type="dxa"/>
            <w:right w:w="28" w:type="dxa"/>
          </w:tblCellMar>
        </w:tblPrEx>
        <w:trPr>
          <w:trHeight w:val="553" w:hRule="atLeast"/>
          <w:jc w:val="center"/>
        </w:trPr>
        <w:tc>
          <w:tcPr>
            <w:tcW w:w="2730" w:type="dxa"/>
            <w:tcBorders>
              <w:top w:val="single" w:color="auto" w:sz="6" w:space="0"/>
              <w:left w:val="single" w:color="auto" w:sz="12" w:space="0"/>
              <w:bottom w:val="single" w:color="auto" w:sz="6" w:space="0"/>
              <w:right w:val="single" w:color="auto" w:sz="6" w:space="0"/>
            </w:tcBorders>
            <w:vAlign w:val="center"/>
          </w:tcPr>
          <w:p>
            <w:pPr>
              <w:widowControl/>
              <w:tabs>
                <w:tab w:val="left" w:pos="180"/>
              </w:tabs>
              <w:spacing w:line="450" w:lineRule="atLeast"/>
              <w:jc w:val="left"/>
              <w:rPr>
                <w:rFonts w:ascii="Times New Roman" w:hAnsi="Times New Roman" w:eastAsia="宋体" w:cs="Times New Roman"/>
                <w:sz w:val="24"/>
              </w:rPr>
            </w:pPr>
            <w:r>
              <w:rPr>
                <w:rFonts w:ascii="Times New Roman" w:hAnsi="Times New Roman" w:eastAsia="宋体" w:cs="Times New Roman"/>
                <w:sz w:val="24"/>
              </w:rPr>
              <w:t>1.因公出国（境）费</w:t>
            </w:r>
          </w:p>
        </w:tc>
        <w:tc>
          <w:tcPr>
            <w:tcW w:w="7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59</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33</w:t>
            </w:r>
          </w:p>
        </w:tc>
        <w:tc>
          <w:tcPr>
            <w:tcW w:w="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18</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18</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227.8</w:t>
            </w:r>
          </w:p>
        </w:tc>
        <w:tc>
          <w:tcPr>
            <w:tcW w:w="113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83.3</w:t>
            </w:r>
          </w:p>
        </w:tc>
      </w:tr>
      <w:tr>
        <w:tblPrEx>
          <w:tblLayout w:type="fixed"/>
          <w:tblCellMar>
            <w:top w:w="0" w:type="dxa"/>
            <w:left w:w="28" w:type="dxa"/>
            <w:bottom w:w="0" w:type="dxa"/>
            <w:right w:w="28" w:type="dxa"/>
          </w:tblCellMar>
        </w:tblPrEx>
        <w:trPr>
          <w:trHeight w:val="553" w:hRule="atLeast"/>
          <w:jc w:val="center"/>
        </w:trPr>
        <w:tc>
          <w:tcPr>
            <w:tcW w:w="2730" w:type="dxa"/>
            <w:tcBorders>
              <w:top w:val="single" w:color="auto" w:sz="6" w:space="0"/>
              <w:left w:val="single" w:color="auto" w:sz="12" w:space="0"/>
              <w:bottom w:val="single" w:color="auto" w:sz="6" w:space="0"/>
              <w:right w:val="single" w:color="auto" w:sz="6" w:space="0"/>
            </w:tcBorders>
            <w:vAlign w:val="center"/>
          </w:tcPr>
          <w:p>
            <w:pPr>
              <w:widowControl/>
              <w:tabs>
                <w:tab w:val="left" w:pos="180"/>
              </w:tabs>
              <w:spacing w:line="450" w:lineRule="atLeast"/>
              <w:jc w:val="left"/>
              <w:rPr>
                <w:rFonts w:ascii="Times New Roman" w:hAnsi="Times New Roman" w:eastAsia="宋体" w:cs="Times New Roman"/>
                <w:sz w:val="24"/>
              </w:rPr>
            </w:pPr>
            <w:r>
              <w:rPr>
                <w:rFonts w:ascii="Times New Roman" w:hAnsi="Times New Roman" w:eastAsia="宋体" w:cs="Times New Roman"/>
                <w:sz w:val="24"/>
              </w:rPr>
              <w:t>2.公务接待费</w:t>
            </w:r>
          </w:p>
        </w:tc>
        <w:tc>
          <w:tcPr>
            <w:tcW w:w="7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316</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269</w:t>
            </w:r>
          </w:p>
        </w:tc>
        <w:tc>
          <w:tcPr>
            <w:tcW w:w="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371</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320</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-14.8</w:t>
            </w:r>
          </w:p>
        </w:tc>
        <w:tc>
          <w:tcPr>
            <w:tcW w:w="113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-15.9</w:t>
            </w:r>
          </w:p>
        </w:tc>
      </w:tr>
      <w:tr>
        <w:tblPrEx>
          <w:tblLayout w:type="fixed"/>
          <w:tblCellMar>
            <w:top w:w="0" w:type="dxa"/>
            <w:left w:w="28" w:type="dxa"/>
            <w:bottom w:w="0" w:type="dxa"/>
            <w:right w:w="28" w:type="dxa"/>
          </w:tblCellMar>
        </w:tblPrEx>
        <w:trPr>
          <w:trHeight w:val="553" w:hRule="atLeast"/>
          <w:jc w:val="center"/>
        </w:trPr>
        <w:tc>
          <w:tcPr>
            <w:tcW w:w="2730" w:type="dxa"/>
            <w:tcBorders>
              <w:top w:val="single" w:color="auto" w:sz="6" w:space="0"/>
              <w:left w:val="single" w:color="auto" w:sz="12" w:space="0"/>
              <w:bottom w:val="single" w:color="auto" w:sz="6" w:space="0"/>
              <w:right w:val="single" w:color="auto" w:sz="6" w:space="0"/>
            </w:tcBorders>
            <w:vAlign w:val="center"/>
          </w:tcPr>
          <w:p>
            <w:pPr>
              <w:widowControl/>
              <w:tabs>
                <w:tab w:val="left" w:pos="180"/>
              </w:tabs>
              <w:spacing w:line="450" w:lineRule="atLeast"/>
              <w:jc w:val="left"/>
              <w:rPr>
                <w:rFonts w:ascii="Times New Roman" w:hAnsi="Times New Roman" w:eastAsia="宋体" w:cs="Times New Roman"/>
                <w:sz w:val="24"/>
              </w:rPr>
            </w:pPr>
            <w:r>
              <w:rPr>
                <w:rFonts w:ascii="Times New Roman" w:hAnsi="Times New Roman" w:eastAsia="宋体" w:cs="Times New Roman"/>
                <w:sz w:val="24"/>
              </w:rPr>
              <w:t>3.</w:t>
            </w:r>
            <w:r>
              <w:rPr>
                <w:rFonts w:ascii="Times New Roman" w:hAnsi="Times New Roman" w:eastAsia="宋体" w:cs="Times New Roman"/>
                <w:spacing w:val="-10"/>
                <w:sz w:val="24"/>
              </w:rPr>
              <w:t>公务用车购置及运行费</w:t>
            </w:r>
          </w:p>
        </w:tc>
        <w:tc>
          <w:tcPr>
            <w:tcW w:w="7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1306</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1129</w:t>
            </w:r>
          </w:p>
        </w:tc>
        <w:tc>
          <w:tcPr>
            <w:tcW w:w="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1088</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1031</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20.0</w:t>
            </w:r>
          </w:p>
        </w:tc>
        <w:tc>
          <w:tcPr>
            <w:tcW w:w="113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9.5</w:t>
            </w:r>
          </w:p>
        </w:tc>
      </w:tr>
      <w:tr>
        <w:tblPrEx>
          <w:tblLayout w:type="fixed"/>
          <w:tblCellMar>
            <w:top w:w="0" w:type="dxa"/>
            <w:left w:w="28" w:type="dxa"/>
            <w:bottom w:w="0" w:type="dxa"/>
            <w:right w:w="28" w:type="dxa"/>
          </w:tblCellMar>
        </w:tblPrEx>
        <w:trPr>
          <w:trHeight w:val="553" w:hRule="atLeast"/>
          <w:jc w:val="center"/>
        </w:trPr>
        <w:tc>
          <w:tcPr>
            <w:tcW w:w="2730" w:type="dxa"/>
            <w:tcBorders>
              <w:top w:val="single" w:color="auto" w:sz="6" w:space="0"/>
              <w:left w:val="single" w:color="auto" w:sz="12" w:space="0"/>
              <w:bottom w:val="single" w:color="auto" w:sz="6" w:space="0"/>
              <w:right w:val="single" w:color="auto" w:sz="6" w:space="0"/>
            </w:tcBorders>
            <w:vAlign w:val="center"/>
          </w:tcPr>
          <w:p>
            <w:pPr>
              <w:widowControl/>
              <w:tabs>
                <w:tab w:val="left" w:pos="180"/>
              </w:tabs>
              <w:spacing w:line="450" w:lineRule="atLeast"/>
              <w:jc w:val="left"/>
              <w:rPr>
                <w:rFonts w:ascii="Times New Roman" w:hAnsi="Times New Roman" w:eastAsia="宋体" w:cs="Times New Roman"/>
                <w:sz w:val="24"/>
              </w:rPr>
            </w:pPr>
            <w:r>
              <w:rPr>
                <w:rFonts w:ascii="Times New Roman" w:hAnsi="Times New Roman" w:eastAsia="宋体" w:cs="Times New Roman"/>
                <w:sz w:val="24"/>
              </w:rPr>
              <w:t>其中：公务用车购置费</w:t>
            </w:r>
          </w:p>
        </w:tc>
        <w:tc>
          <w:tcPr>
            <w:tcW w:w="7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226</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88</w:t>
            </w:r>
          </w:p>
        </w:tc>
        <w:tc>
          <w:tcPr>
            <w:tcW w:w="84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0</w:t>
            </w:r>
          </w:p>
        </w:tc>
        <w:tc>
          <w:tcPr>
            <w:tcW w:w="123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0</w:t>
            </w:r>
          </w:p>
        </w:tc>
        <w:tc>
          <w:tcPr>
            <w:tcW w:w="113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100</w:t>
            </w:r>
          </w:p>
        </w:tc>
        <w:tc>
          <w:tcPr>
            <w:tcW w:w="113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100</w:t>
            </w:r>
          </w:p>
        </w:tc>
      </w:tr>
      <w:tr>
        <w:tblPrEx>
          <w:tblLayout w:type="fixed"/>
          <w:tblCellMar>
            <w:top w:w="0" w:type="dxa"/>
            <w:left w:w="28" w:type="dxa"/>
            <w:bottom w:w="0" w:type="dxa"/>
            <w:right w:w="28" w:type="dxa"/>
          </w:tblCellMar>
        </w:tblPrEx>
        <w:trPr>
          <w:trHeight w:val="553" w:hRule="atLeast"/>
          <w:jc w:val="center"/>
        </w:trPr>
        <w:tc>
          <w:tcPr>
            <w:tcW w:w="2730" w:type="dxa"/>
            <w:tcBorders>
              <w:top w:val="single" w:color="auto" w:sz="6" w:space="0"/>
              <w:left w:val="single" w:color="auto" w:sz="12" w:space="0"/>
              <w:bottom w:val="single" w:color="auto" w:sz="12" w:space="0"/>
              <w:right w:val="single" w:color="auto" w:sz="6" w:space="0"/>
            </w:tcBorders>
            <w:vAlign w:val="center"/>
          </w:tcPr>
          <w:p>
            <w:pPr>
              <w:widowControl/>
              <w:tabs>
                <w:tab w:val="left" w:pos="180"/>
              </w:tabs>
              <w:spacing w:line="450" w:lineRule="atLeast"/>
              <w:ind w:firstLine="720" w:firstLineChars="300"/>
              <w:jc w:val="left"/>
              <w:rPr>
                <w:rFonts w:ascii="Times New Roman" w:hAnsi="Times New Roman" w:eastAsia="宋体" w:cs="Times New Roman"/>
                <w:sz w:val="24"/>
              </w:rPr>
            </w:pPr>
            <w:r>
              <w:rPr>
                <w:rFonts w:ascii="Times New Roman" w:hAnsi="Times New Roman" w:eastAsia="宋体" w:cs="Times New Roman"/>
                <w:sz w:val="24"/>
              </w:rPr>
              <w:t>公务用车运行费</w:t>
            </w:r>
          </w:p>
        </w:tc>
        <w:tc>
          <w:tcPr>
            <w:tcW w:w="776"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1080</w:t>
            </w:r>
          </w:p>
        </w:tc>
        <w:tc>
          <w:tcPr>
            <w:tcW w:w="113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1041</w:t>
            </w:r>
          </w:p>
        </w:tc>
        <w:tc>
          <w:tcPr>
            <w:tcW w:w="84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1088</w:t>
            </w:r>
          </w:p>
        </w:tc>
        <w:tc>
          <w:tcPr>
            <w:tcW w:w="1230"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Times New Roman" w:hAnsi="Times New Roman" w:cs="Times New Roman"/>
                <w:sz w:val="24"/>
              </w:rPr>
            </w:pPr>
            <w:r>
              <w:rPr>
                <w:rFonts w:ascii="Times New Roman" w:hAnsi="Times New Roman" w:cs="Times New Roman"/>
                <w:sz w:val="24"/>
              </w:rPr>
              <w:t>1031</w:t>
            </w:r>
          </w:p>
        </w:tc>
        <w:tc>
          <w:tcPr>
            <w:tcW w:w="113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-0.7</w:t>
            </w:r>
          </w:p>
        </w:tc>
        <w:tc>
          <w:tcPr>
            <w:tcW w:w="1131"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Times New Roman" w:hAnsi="Times New Roman" w:eastAsia="宋体" w:cs="Times New Roman"/>
                <w:sz w:val="24"/>
              </w:rPr>
            </w:pPr>
            <w:r>
              <w:rPr>
                <w:rFonts w:ascii="Times New Roman" w:hAnsi="Times New Roman" w:cs="Times New Roman"/>
                <w:sz w:val="24"/>
              </w:rPr>
              <w:t>1.0</w:t>
            </w:r>
          </w:p>
        </w:tc>
      </w:tr>
    </w:tbl>
    <w:p>
      <w:pPr>
        <w:jc w:val="both"/>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2020年1至6月一般公共预算收入执行情况表</w:t>
      </w:r>
    </w:p>
    <w:p>
      <w:pPr>
        <w:spacing w:after="156" w:afterLines="50" w:line="400" w:lineRule="exact"/>
        <w:rPr>
          <w:rFonts w:ascii="Times New Roman" w:hAnsi="Times New Roman" w:cs="Times New Roman"/>
          <w:color w:val="00000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十五</w:t>
      </w:r>
      <w:r>
        <w:rPr>
          <w:rFonts w:ascii="Times New Roman" w:hAnsi="Times New Roman" w:eastAsia="楷体_GB2312" w:cs="Times New Roman"/>
          <w:color w:val="000000"/>
          <w:kern w:val="0"/>
          <w:sz w:val="24"/>
          <w:szCs w:val="24"/>
        </w:rPr>
        <w:t xml:space="preserve">                       　　　　　　　　　　                 单位：万元</w:t>
      </w:r>
    </w:p>
    <w:tbl>
      <w:tblPr>
        <w:tblStyle w:val="10"/>
        <w:tblW w:w="94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57"/>
        <w:gridCol w:w="1307"/>
        <w:gridCol w:w="1308"/>
        <w:gridCol w:w="1307"/>
        <w:gridCol w:w="1308"/>
        <w:gridCol w:w="13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0" w:hRule="atLeast"/>
          <w:tblHeader/>
          <w:jc w:val="center"/>
        </w:trPr>
        <w:tc>
          <w:tcPr>
            <w:tcW w:w="2957" w:type="dxa"/>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收 入 科 目</w:t>
            </w:r>
          </w:p>
        </w:tc>
        <w:tc>
          <w:tcPr>
            <w:tcW w:w="1307" w:type="dxa"/>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1-6月份执行数</w:t>
            </w:r>
          </w:p>
        </w:tc>
        <w:tc>
          <w:tcPr>
            <w:tcW w:w="1308" w:type="dxa"/>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2020年</w:t>
            </w:r>
          </w:p>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预算</w:t>
            </w:r>
          </w:p>
        </w:tc>
        <w:tc>
          <w:tcPr>
            <w:tcW w:w="1307" w:type="dxa"/>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完成预算数%</w:t>
            </w:r>
          </w:p>
        </w:tc>
        <w:tc>
          <w:tcPr>
            <w:tcW w:w="1308" w:type="dxa"/>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2019年</w:t>
            </w:r>
          </w:p>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同期实绩</w:t>
            </w:r>
          </w:p>
        </w:tc>
        <w:tc>
          <w:tcPr>
            <w:tcW w:w="1308" w:type="dxa"/>
            <w:shd w:val="clear" w:color="auto" w:fill="auto"/>
            <w:vAlign w:val="center"/>
          </w:tcPr>
          <w:p>
            <w:pPr>
              <w:widowControl/>
              <w:jc w:val="center"/>
              <w:textAlignment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比2019年±%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    计</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180118</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302600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59.5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177346</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一、税收收入小计</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142138</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263816</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53.9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142251</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1.增值税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74658</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147486</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50.6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79086</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2.企业所得税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21997</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74.8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19860</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3.个人所得税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6367</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53.1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7150</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4.资源税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1526</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127.2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490</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5.城市维护建设税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8947</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49.7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10820</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6.房产税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1696</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4091</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7.印花税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1966</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65.5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1538</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8.城镇土地使用税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2155</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25.4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3703</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9.土地增值税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5627</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70.3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4613</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10.车船税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1265</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50.6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1290</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11.耕地占用税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1273</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1352</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12.契税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14214</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19000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74.8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7976</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13.环境保护税</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40.7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numPr>
                <w:ilvl w:val="0"/>
                <w:numId w:val="3"/>
              </w:numPr>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其他税收收入</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1540.0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二、非税收入小计</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37980</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38784</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97.9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35095</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2" w:hRule="atLeast"/>
          <w:jc w:val="center"/>
        </w:trPr>
        <w:tc>
          <w:tcPr>
            <w:tcW w:w="2957" w:type="dxa"/>
            <w:shd w:val="clear" w:color="auto" w:fill="auto"/>
            <w:noWrap/>
            <w:vAlign w:val="center"/>
          </w:tcPr>
          <w:p>
            <w:pPr>
              <w:widowControl/>
              <w:spacing w:line="5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1.专项收入</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7070</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15584</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45.4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9364</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spacing w:line="520" w:lineRule="exact"/>
              <w:ind w:firstLine="240" w:firstLineChars="1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其中：教育费附加收入</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3801</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7968</w:t>
            </w:r>
          </w:p>
        </w:tc>
        <w:tc>
          <w:tcPr>
            <w:tcW w:w="1307"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47.7 </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4465</w:t>
            </w:r>
          </w:p>
        </w:tc>
        <w:tc>
          <w:tcPr>
            <w:tcW w:w="1308" w:type="dxa"/>
            <w:shd w:val="clear" w:color="auto" w:fill="auto"/>
            <w:noWrap/>
            <w:vAlign w:val="center"/>
          </w:tcPr>
          <w:p>
            <w:pPr>
              <w:widowControl/>
              <w:spacing w:line="5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2957" w:type="dxa"/>
            <w:shd w:val="clear" w:color="auto" w:fill="auto"/>
            <w:noWrap/>
            <w:vAlign w:val="center"/>
          </w:tcPr>
          <w:p>
            <w:pPr>
              <w:widowControl/>
              <w:ind w:firstLine="896" w:firstLineChars="400"/>
              <w:jc w:val="left"/>
              <w:textAlignment w:val="center"/>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地方教育附加收入</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2539</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5298</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47.9 </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2977</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ind w:firstLine="960" w:firstLineChars="4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残疾人就业保障金收入</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1318</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455</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spacing w:line="480" w:lineRule="exact"/>
              <w:ind w:firstLine="960" w:firstLineChars="4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森林植被恢复费</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718</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71.8 </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1467</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spacing w:line="480" w:lineRule="exact"/>
              <w:ind w:firstLine="896" w:firstLineChars="400"/>
              <w:jc w:val="left"/>
              <w:textAlignment w:val="center"/>
              <w:rPr>
                <w:rFonts w:ascii="Times New Roman" w:hAnsi="Times New Roman" w:eastAsia="宋体" w:cs="Times New Roman"/>
                <w:color w:val="000000"/>
                <w:spacing w:val="-8"/>
                <w:kern w:val="0"/>
                <w:sz w:val="24"/>
                <w:szCs w:val="24"/>
              </w:rPr>
            </w:pPr>
            <w:r>
              <w:rPr>
                <w:rFonts w:ascii="Times New Roman" w:hAnsi="Times New Roman" w:eastAsia="宋体" w:cs="Times New Roman"/>
                <w:color w:val="000000"/>
                <w:spacing w:val="-8"/>
                <w:kern w:val="0"/>
                <w:sz w:val="24"/>
                <w:szCs w:val="24"/>
              </w:rPr>
              <w:t>水利建设专项收入</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spacing w:line="48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2.行政事业性收费收入</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2299</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3000 </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1686</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spacing w:line="48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3.罚没收入</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16839</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14580 </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115.5 </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19777</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spacing w:line="48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4.国有资本经营收入</w:t>
            </w:r>
          </w:p>
        </w:tc>
        <w:tc>
          <w:tcPr>
            <w:tcW w:w="1307" w:type="dxa"/>
            <w:shd w:val="clear" w:color="auto" w:fill="auto"/>
            <w:noWrap/>
            <w:vAlign w:val="center"/>
          </w:tcPr>
          <w:p>
            <w:pPr>
              <w:widowControl/>
              <w:spacing w:line="48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-5580 </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ind w:firstLine="240" w:firstLineChars="1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其中：国有企业计划亏损补贴</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-5580 </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-2000</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5.国有资源（资产）有偿使用收入</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10813</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10000 </w:t>
            </w:r>
          </w:p>
        </w:tc>
        <w:tc>
          <w:tcPr>
            <w:tcW w:w="1307"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108.1 </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5430</w:t>
            </w:r>
          </w:p>
        </w:tc>
        <w:tc>
          <w:tcPr>
            <w:tcW w:w="1308"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2957" w:type="dxa"/>
            <w:shd w:val="clear" w:color="auto" w:fill="auto"/>
            <w:noWrap/>
            <w:vAlign w:val="center"/>
          </w:tcPr>
          <w:p>
            <w:pPr>
              <w:widowControl/>
              <w:spacing w:line="48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6.政府住房基金收入</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959</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1200 </w:t>
            </w:r>
          </w:p>
        </w:tc>
        <w:tc>
          <w:tcPr>
            <w:tcW w:w="1307"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79.9 </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838</w:t>
            </w:r>
          </w:p>
        </w:tc>
        <w:tc>
          <w:tcPr>
            <w:tcW w:w="1308" w:type="dxa"/>
            <w:shd w:val="clear" w:color="auto" w:fill="auto"/>
            <w:noWrap/>
            <w:vAlign w:val="center"/>
          </w:tcPr>
          <w:p>
            <w:pPr>
              <w:widowControl/>
              <w:spacing w:line="48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14.4 </w:t>
            </w:r>
          </w:p>
        </w:tc>
      </w:tr>
    </w:tbl>
    <w:p>
      <w:pPr>
        <w:rPr>
          <w:rFonts w:ascii="Times New Roman" w:hAnsi="Times New Roman" w:cs="Times New Roman"/>
          <w:color w:val="000000"/>
        </w:rPr>
      </w:pPr>
    </w:p>
    <w:tbl>
      <w:tblPr>
        <w:tblStyle w:val="10"/>
        <w:tblW w:w="9495" w:type="dxa"/>
        <w:jc w:val="center"/>
        <w:tblInd w:w="0" w:type="dxa"/>
        <w:tblLayout w:type="fixed"/>
        <w:tblCellMar>
          <w:top w:w="0" w:type="dxa"/>
          <w:left w:w="108" w:type="dxa"/>
          <w:bottom w:w="0" w:type="dxa"/>
          <w:right w:w="108" w:type="dxa"/>
        </w:tblCellMar>
      </w:tblPr>
      <w:tblGrid>
        <w:gridCol w:w="9495"/>
      </w:tblGrid>
      <w:tr>
        <w:tblPrEx>
          <w:tblLayout w:type="fixed"/>
          <w:tblCellMar>
            <w:top w:w="0" w:type="dxa"/>
            <w:left w:w="108" w:type="dxa"/>
            <w:bottom w:w="0" w:type="dxa"/>
            <w:right w:w="108" w:type="dxa"/>
          </w:tblCellMar>
        </w:tblPrEx>
        <w:trPr>
          <w:trHeight w:val="285" w:hRule="atLeast"/>
          <w:jc w:val="center"/>
        </w:trPr>
        <w:tc>
          <w:tcPr>
            <w:tcW w:w="9495" w:type="dxa"/>
            <w:tcBorders>
              <w:top w:val="nil"/>
              <w:left w:val="nil"/>
              <w:bottom w:val="nil"/>
              <w:right w:val="nil"/>
            </w:tcBorders>
            <w:shd w:val="clear" w:color="auto" w:fill="auto"/>
            <w:vAlign w:val="center"/>
          </w:tcPr>
          <w:p>
            <w:pPr>
              <w:widowControl/>
              <w:spacing w:line="400" w:lineRule="exact"/>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注：1.增值税下降主要是受减税政策及疫情影响。</w:t>
            </w:r>
          </w:p>
        </w:tc>
      </w:tr>
      <w:tr>
        <w:tblPrEx>
          <w:tblLayout w:type="fixed"/>
          <w:tblCellMar>
            <w:top w:w="0" w:type="dxa"/>
            <w:left w:w="108" w:type="dxa"/>
            <w:bottom w:w="0" w:type="dxa"/>
            <w:right w:w="108" w:type="dxa"/>
          </w:tblCellMar>
        </w:tblPrEx>
        <w:trPr>
          <w:trHeight w:val="285"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2.个人所得税下降主要是受减税政策及疫情影响。</w:t>
            </w:r>
          </w:p>
        </w:tc>
      </w:tr>
      <w:tr>
        <w:tblPrEx>
          <w:tblLayout w:type="fixed"/>
          <w:tblCellMar>
            <w:top w:w="0" w:type="dxa"/>
            <w:left w:w="108" w:type="dxa"/>
            <w:bottom w:w="0" w:type="dxa"/>
            <w:right w:w="108" w:type="dxa"/>
          </w:tblCellMar>
        </w:tblPrEx>
        <w:trPr>
          <w:trHeight w:val="285"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3.资源税增加主要是矿业企业销售增加。</w:t>
            </w:r>
          </w:p>
        </w:tc>
      </w:tr>
      <w:tr>
        <w:tblPrEx>
          <w:tblLayout w:type="fixed"/>
          <w:tblCellMar>
            <w:top w:w="0" w:type="dxa"/>
            <w:left w:w="108" w:type="dxa"/>
            <w:bottom w:w="0" w:type="dxa"/>
            <w:right w:w="108" w:type="dxa"/>
          </w:tblCellMar>
        </w:tblPrEx>
        <w:trPr>
          <w:trHeight w:val="285"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4.城市维护建设税下降主要是主税种增值税下降</w:t>
            </w:r>
            <w:r>
              <w:rPr>
                <w:rFonts w:hint="eastAsia" w:ascii="Times New Roman" w:hAnsi="Times New Roman" w:eastAsia="楷体_GB2312" w:cs="Times New Roman"/>
                <w:color w:val="000000"/>
                <w:kern w:val="0"/>
                <w:sz w:val="22"/>
              </w:rPr>
              <w:t>而减少</w:t>
            </w:r>
            <w:r>
              <w:rPr>
                <w:rFonts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579" w:hRule="atLeast"/>
          <w:jc w:val="center"/>
        </w:trPr>
        <w:tc>
          <w:tcPr>
            <w:tcW w:w="9495" w:type="dxa"/>
            <w:tcBorders>
              <w:top w:val="nil"/>
              <w:left w:val="nil"/>
              <w:bottom w:val="nil"/>
              <w:right w:val="nil"/>
            </w:tcBorders>
            <w:shd w:val="clear" w:color="auto" w:fill="auto"/>
            <w:vAlign w:val="center"/>
          </w:tcPr>
          <w:p>
            <w:pPr>
              <w:widowControl/>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5.房产税、城镇土地使用税下降主要是</w:t>
            </w:r>
            <w:r>
              <w:rPr>
                <w:rFonts w:hint="eastAsia" w:ascii="Times New Roman" w:hAnsi="Times New Roman" w:eastAsia="楷体_GB2312" w:cs="Times New Roman"/>
                <w:color w:val="000000"/>
                <w:kern w:val="0"/>
                <w:sz w:val="22"/>
              </w:rPr>
              <w:t>根据规定征期改变</w:t>
            </w:r>
            <w:r>
              <w:rPr>
                <w:rFonts w:ascii="Times New Roman" w:hAnsi="Times New Roman" w:eastAsia="楷体_GB2312" w:cs="Times New Roman"/>
                <w:color w:val="000000"/>
                <w:kern w:val="0"/>
                <w:sz w:val="22"/>
              </w:rPr>
              <w:t>，2018年</w:t>
            </w:r>
            <w:r>
              <w:rPr>
                <w:rFonts w:hint="eastAsia" w:ascii="Times New Roman" w:hAnsi="Times New Roman" w:eastAsia="楷体_GB2312" w:cs="Times New Roman"/>
                <w:color w:val="000000"/>
                <w:kern w:val="0"/>
                <w:sz w:val="22"/>
              </w:rPr>
              <w:t>下</w:t>
            </w:r>
            <w:r>
              <w:rPr>
                <w:rFonts w:ascii="Times New Roman" w:hAnsi="Times New Roman" w:eastAsia="楷体_GB2312" w:cs="Times New Roman"/>
                <w:color w:val="000000"/>
                <w:kern w:val="0"/>
                <w:sz w:val="22"/>
              </w:rPr>
              <w:t>半年税款在2019年1月份入库。</w:t>
            </w:r>
          </w:p>
        </w:tc>
      </w:tr>
      <w:tr>
        <w:tblPrEx>
          <w:tblLayout w:type="fixed"/>
          <w:tblCellMar>
            <w:top w:w="0" w:type="dxa"/>
            <w:left w:w="108" w:type="dxa"/>
            <w:bottom w:w="0" w:type="dxa"/>
            <w:right w:w="108" w:type="dxa"/>
          </w:tblCellMar>
        </w:tblPrEx>
        <w:trPr>
          <w:trHeight w:val="285"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6.土地增值税增加主要是房地产清算增加。</w:t>
            </w:r>
          </w:p>
        </w:tc>
      </w:tr>
      <w:tr>
        <w:tblPrEx>
          <w:tblLayout w:type="fixed"/>
          <w:tblCellMar>
            <w:top w:w="0" w:type="dxa"/>
            <w:left w:w="108" w:type="dxa"/>
            <w:bottom w:w="0" w:type="dxa"/>
            <w:right w:w="108" w:type="dxa"/>
          </w:tblCellMar>
        </w:tblPrEx>
        <w:trPr>
          <w:trHeight w:val="285"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7.契税增加主要是结转入库税款增加。</w:t>
            </w:r>
          </w:p>
        </w:tc>
      </w:tr>
      <w:tr>
        <w:tblPrEx>
          <w:tblLayout w:type="fixed"/>
          <w:tblCellMar>
            <w:top w:w="0" w:type="dxa"/>
            <w:left w:w="108" w:type="dxa"/>
            <w:bottom w:w="0" w:type="dxa"/>
            <w:right w:w="108" w:type="dxa"/>
          </w:tblCellMar>
        </w:tblPrEx>
        <w:trPr>
          <w:trHeight w:val="300"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8.教育费附加收入、地方教育费收入下降主要是主税种增值税下降</w:t>
            </w:r>
            <w:r>
              <w:rPr>
                <w:rFonts w:hint="eastAsia" w:ascii="Times New Roman" w:hAnsi="Times New Roman" w:eastAsia="楷体_GB2312" w:cs="Times New Roman"/>
                <w:color w:val="000000"/>
                <w:kern w:val="0"/>
                <w:sz w:val="22"/>
              </w:rPr>
              <w:t>而减少</w:t>
            </w:r>
            <w:r>
              <w:rPr>
                <w:rFonts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300"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9.残疾人就业保障金收入下降主要是受减税降费政策影响。</w:t>
            </w:r>
          </w:p>
        </w:tc>
      </w:tr>
      <w:tr>
        <w:tblPrEx>
          <w:tblLayout w:type="fixed"/>
          <w:tblCellMar>
            <w:top w:w="0" w:type="dxa"/>
            <w:left w:w="108" w:type="dxa"/>
            <w:bottom w:w="0" w:type="dxa"/>
            <w:right w:w="108" w:type="dxa"/>
          </w:tblCellMar>
        </w:tblPrEx>
        <w:trPr>
          <w:trHeight w:val="300"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10.森林植被恢复费下降主要是工程建设占用林地面积减少。</w:t>
            </w:r>
          </w:p>
        </w:tc>
      </w:tr>
      <w:tr>
        <w:tblPrEx>
          <w:tblLayout w:type="fixed"/>
          <w:tblCellMar>
            <w:top w:w="0" w:type="dxa"/>
            <w:left w:w="108" w:type="dxa"/>
            <w:bottom w:w="0" w:type="dxa"/>
            <w:right w:w="108" w:type="dxa"/>
          </w:tblCellMar>
        </w:tblPrEx>
        <w:trPr>
          <w:trHeight w:val="300"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11.行政事业性收费收入增加主要是</w:t>
            </w:r>
            <w:r>
              <w:rPr>
                <w:rFonts w:hint="eastAsia" w:ascii="Times New Roman" w:hAnsi="Times New Roman" w:eastAsia="楷体_GB2312" w:cs="Times New Roman"/>
                <w:color w:val="000000"/>
                <w:kern w:val="0"/>
                <w:sz w:val="22"/>
              </w:rPr>
              <w:t>防空地下室易地建设费增加。</w:t>
            </w:r>
          </w:p>
        </w:tc>
      </w:tr>
      <w:tr>
        <w:tblPrEx>
          <w:tblLayout w:type="fixed"/>
          <w:tblCellMar>
            <w:top w:w="0" w:type="dxa"/>
            <w:left w:w="108" w:type="dxa"/>
            <w:bottom w:w="0" w:type="dxa"/>
            <w:right w:w="108" w:type="dxa"/>
          </w:tblCellMar>
        </w:tblPrEx>
        <w:trPr>
          <w:trHeight w:val="285" w:hRule="atLeast"/>
          <w:jc w:val="center"/>
        </w:trPr>
        <w:tc>
          <w:tcPr>
            <w:tcW w:w="9495" w:type="dxa"/>
            <w:tcBorders>
              <w:top w:val="nil"/>
              <w:left w:val="nil"/>
              <w:bottom w:val="nil"/>
              <w:right w:val="nil"/>
            </w:tcBorders>
            <w:shd w:val="clear" w:color="auto" w:fill="auto"/>
            <w:vAlign w:val="center"/>
          </w:tcPr>
          <w:p>
            <w:pPr>
              <w:widowControl/>
              <w:spacing w:line="400" w:lineRule="exact"/>
              <w:ind w:firstLine="495" w:firstLineChars="225"/>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12.国有资源（资产）有偿使用收入增加主要是排污权出让收入调库增加。</w:t>
            </w:r>
          </w:p>
        </w:tc>
      </w:tr>
    </w:tbl>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2020年1至6月一般公共预算支出执行情况表</w:t>
      </w:r>
    </w:p>
    <w:p>
      <w:pPr>
        <w:spacing w:after="156" w:afterLines="50" w:line="400" w:lineRule="exact"/>
        <w:rPr>
          <w:rFonts w:ascii="Times New Roman" w:hAnsi="Times New Roman" w:cs="Times New Roman"/>
          <w:color w:val="000000"/>
          <w:sz w:val="24"/>
          <w:szCs w:val="24"/>
        </w:rPr>
      </w:pPr>
      <w:r>
        <w:rPr>
          <w:rFonts w:ascii="Times New Roman" w:hAnsi="Times New Roman" w:eastAsia="楷体_GB2312" w:cs="Times New Roman"/>
          <w:color w:val="000000"/>
          <w:kern w:val="0"/>
          <w:sz w:val="24"/>
          <w:szCs w:val="24"/>
        </w:rPr>
        <w:t>表</w:t>
      </w:r>
      <w:r>
        <w:rPr>
          <w:rFonts w:hint="eastAsia" w:ascii="Times New Roman" w:hAnsi="Times New Roman" w:eastAsia="楷体_GB2312" w:cs="Times New Roman"/>
          <w:color w:val="000000"/>
          <w:kern w:val="0"/>
          <w:sz w:val="24"/>
          <w:szCs w:val="24"/>
        </w:rPr>
        <w:t>十六</w:t>
      </w:r>
      <w:r>
        <w:rPr>
          <w:rFonts w:ascii="Times New Roman" w:hAnsi="Times New Roman" w:eastAsia="楷体_GB2312" w:cs="Times New Roman"/>
          <w:color w:val="000000"/>
          <w:kern w:val="0"/>
          <w:sz w:val="24"/>
          <w:szCs w:val="24"/>
        </w:rPr>
        <w:t xml:space="preserve">                       　　　　　　　　　　                 单位：万元</w:t>
      </w:r>
    </w:p>
    <w:tbl>
      <w:tblPr>
        <w:tblStyle w:val="10"/>
        <w:tblW w:w="917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0"/>
        <w:gridCol w:w="1343"/>
        <w:gridCol w:w="1117"/>
        <w:gridCol w:w="1068"/>
        <w:gridCol w:w="1254"/>
        <w:gridCol w:w="11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9" w:hRule="atLeast"/>
          <w:tblHeader/>
          <w:jc w:val="center"/>
        </w:trPr>
        <w:tc>
          <w:tcPr>
            <w:tcW w:w="3290"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支 出 科 目</w:t>
            </w:r>
          </w:p>
        </w:tc>
        <w:tc>
          <w:tcPr>
            <w:tcW w:w="1343"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xml:space="preserve">1-6月份  执行数  </w:t>
            </w:r>
          </w:p>
        </w:tc>
        <w:tc>
          <w:tcPr>
            <w:tcW w:w="111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   预算</w:t>
            </w:r>
          </w:p>
        </w:tc>
        <w:tc>
          <w:tcPr>
            <w:tcW w:w="1068"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 xml:space="preserve">完成   </w:t>
            </w:r>
            <w:r>
              <w:rPr>
                <w:rFonts w:ascii="Times New Roman" w:hAnsi="Times New Roman" w:eastAsia="黑体" w:cs="Times New Roman"/>
                <w:color w:val="000000"/>
                <w:kern w:val="0"/>
                <w:sz w:val="24"/>
                <w:szCs w:val="24"/>
              </w:rPr>
              <w:br w:type="textWrapping"/>
            </w:r>
            <w:r>
              <w:rPr>
                <w:rFonts w:ascii="Times New Roman" w:hAnsi="Times New Roman" w:eastAsia="黑体" w:cs="Times New Roman"/>
                <w:color w:val="000000"/>
                <w:kern w:val="0"/>
                <w:sz w:val="24"/>
                <w:szCs w:val="24"/>
              </w:rPr>
              <w:t>预算%</w:t>
            </w:r>
          </w:p>
        </w:tc>
        <w:tc>
          <w:tcPr>
            <w:tcW w:w="1254"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2019年  同期实绩</w:t>
            </w:r>
          </w:p>
        </w:tc>
        <w:tc>
          <w:tcPr>
            <w:tcW w:w="1107" w:type="dxa"/>
            <w:shd w:val="clear" w:color="auto" w:fill="auto"/>
            <w:vAlign w:val="center"/>
          </w:tcPr>
          <w:p>
            <w:pPr>
              <w:widowControl/>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比2019年±%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329941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711335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324474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1.一般公共服务支出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32977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57867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人大事务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878</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人大会议</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人大监督</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jc w:val="left"/>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 xml:space="preserve"> 人大代表履职能力提升</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代表工作</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455.2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政协事务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政协会议</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其他政协事务支出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政府办公厅（室）及相关机构事务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11700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17571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9475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9361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14697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8650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机关服务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政务公开审批</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其他政府办公厅（室）及相关机构事务支出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227.0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发展与改革事务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机关服务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社会事业发展规划</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物价管理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其他发展与改革事务支出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统计信息事务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专项统计业务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专项普查活动</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统计抽样调查</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2423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4184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2139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1836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2633</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1990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712</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财政监察</w:t>
            </w:r>
          </w:p>
        </w:tc>
        <w:tc>
          <w:tcPr>
            <w:tcW w:w="134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252</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其他财政事务支出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税收事务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税务办案</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代扣代收代征税款手续费</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税务宣传</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协税护税</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其他税收事务支出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审计事务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审计业务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审计管理</w:t>
            </w:r>
          </w:p>
        </w:tc>
        <w:tc>
          <w:tcPr>
            <w:tcW w:w="134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134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其他审计事务支出</w:t>
            </w:r>
          </w:p>
        </w:tc>
        <w:tc>
          <w:tcPr>
            <w:tcW w:w="134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海关事务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其他海关事务支出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纪检监察事务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2252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1448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大案要案查处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派驻派出机构</w:t>
            </w:r>
          </w:p>
        </w:tc>
        <w:tc>
          <w:tcPr>
            <w:tcW w:w="134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其他纪检监察事务支出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商贸事务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对外贸易管理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招商引资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其他商贸事务支出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民族事务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其他民族事务支出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港澳台事务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港澳事务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档案事务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档案馆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民主党派及工商联事务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185</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其他民主党派及工商联事务支出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群众团体事务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其他群众团体事务支出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党委办公厅（室）及相关机构事务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专项业务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9"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其他党委办公厅（室）及相关机构事务支出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组织事务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机关服务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公务员事务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其他组织事务支出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宣传事务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其他宣传事务支出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统战事务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宗教事务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华侨事务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其他统战事务支出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其他共产党事务支出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2927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1149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其他共产党事务支出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市场监督管理事务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4065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6366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2739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机关服务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市场监督管理专项</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市场监管执法</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其他市场监督管理事务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其他一般公共服务支出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其他一般公共服务支出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2.国防支出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国防动员</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兵役征集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人民防空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国防教育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民兵</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其他国防支出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其他国防支出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3.公共安全支出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19531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34852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武装警察部队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武装警察部队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公安</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14324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24029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13218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12098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执法办案</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特别业务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其他公安支出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5896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检察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其他检察支出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法院</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2721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4655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2275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1960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案件审判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案件执行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“两庭”建设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司法</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基层司法业务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普法宣传</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法律援助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社区矫正</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法制建设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其他司法支出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其他公共安全支出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其他公共安全支出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4.教育支出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56495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119055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61401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教育管理事务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其他教育管理事务支出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普通教育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51048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96016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51432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学前教育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2830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6228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小学教育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21099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35176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17113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初中教育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16166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26992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13793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高中教育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9312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14788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13825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其他普通教育支出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12832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4909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职业教育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3428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7215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4185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中等职业教育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2321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技校教育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职业高中教育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3215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其他职业教育支出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成人教育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成人高等教育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其他成人教育支出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广播电视教育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广播电视学校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特殊教育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特殊学校教育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进修及培训</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教师进修</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干部教育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培训支出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教育费附加安排的支出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8248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其他教育费附加安排的支出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8248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其他教育支出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3261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其他教育支出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3261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5.科学技术支出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3275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4323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15858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科学技术管理事务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其他科学技术管理事务支出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应用研究</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机构运行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技术研究与开发</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2570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15285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应用技术研究与开发</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其他技术研究与开发支出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2570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15230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科技条件与服务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技术创新服务体系</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社会科学</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社会科学研究</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科学技术普及</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科普活动</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科技馆站</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其他科学技术普及支出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其他科学技术支出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6.文化旅游体育与传媒支出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10479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文化和旅游</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1796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4489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图书馆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艺术表演场所</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艺术表演团体</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文化活动</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群众文化</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文化创作与保护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文化和旅游市场管理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旅游宣传</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旅游行业业务管理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文化和旅游管理事务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其他文化和旅游支出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2567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文物保护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博物馆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历史名城与古迹</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体育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体育场馆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群众体育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其他体育支出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新闻出版电影</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出版发行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其他新闻出版电影支出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广播电视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广播</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电视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其他广播电视支出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其他文化旅游体育与传媒支出 </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其他文化旅游体育与传媒支出 </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7.社会保障和就业支出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78733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144702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67264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人力资源和社会保障管理事务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2385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劳动保障监察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就业管理事务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信息化建设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社会保险经办机构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劳动关系和维权</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劳动人事争议调解仲裁</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其他人力资源和社会保障管理事务支出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民间组织管理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行政区划和地名管理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基层政权和社区建设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其他民政管理事务支出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行政事业单位离退休</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18399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37359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23347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归口管理的行政单位离退休</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离退休人员管理机构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对机关事业单位基本养老保险基金的补助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36833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23055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企业改革补助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企业关闭破产补助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就业补助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就业创业服务补贴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 </w:t>
            </w:r>
          </w:p>
        </w:tc>
        <w:tc>
          <w:tcPr>
            <w:tcW w:w="1117"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社会保险补贴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其他就业补助支出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抚恤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5896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死亡抚恤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伤残抚恤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义务兵优待</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其他优抚支出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3541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退役安置</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退役士兵安置</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军队移交政府的离退休人员安置</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军队移交政府离退休干部管理机构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退役士兵管理教育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军队转业干部安置</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其他退役安置支出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社会福利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4352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儿童福利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老年福利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殡葬</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社会福利事业单位</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残疾人事业</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4250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1481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残疾人康复</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残疾人就业和扶贫</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残疾人体育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残疾人生活和护理补贴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其他残疾人事业支出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红十字事业</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其他红十字事业支出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最低生活保障</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2845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城市最低生活保障金支出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农村最低生活保障金支出</w:t>
            </w:r>
          </w:p>
        </w:tc>
        <w:tc>
          <w:tcPr>
            <w:tcW w:w="134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3035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5660</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53.6 </w:t>
            </w:r>
          </w:p>
        </w:tc>
        <w:tc>
          <w:tcPr>
            <w:tcW w:w="1254"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2757</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临时救助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1129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临时救助支出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1044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472.5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流浪乞讨人员救助支出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特困人员救助供养</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城市特困人员救助供养支出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113</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农村特困人员救助供养支出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609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958</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其他生活救助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其他城市生活救助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其他农村生活救助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2142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财政对基本养老保险基金的补助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37321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49363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19868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财政对企业职工基本养老保险基金的补助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21821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24995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财政对城乡居民基本养老保险基金的补助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15500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24368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19868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财政对其他社会保险基金的补助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4882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1732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财政对工伤保险基金的补助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其他财政对社会保险基金的补助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1732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退役军人管理事务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其他退役军人事务管理支出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其他社会保障和就业支出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5607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19546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6534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其他社会保障和就业支出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5607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19546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6534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8.卫生健康支出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34574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95085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39736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卫生健康管理事务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5609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1201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2030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其他卫生健康管理事务支出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3579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公立医院</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3188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1494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综合医院</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中医（民族）医院</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其他公立医院支出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基层医疗卫生机构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4888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乡镇卫生院</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其他基层医疗卫生机构支出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公共卫生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5833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8605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3860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疾病预防控制机构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915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卫生监督机构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妇幼保健机构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精神卫生机构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应急救治机构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采供血机构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基本公共卫生服务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5291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重大公共卫生专项</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突发公共卫生事件应急处理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1546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其他公共卫生支出 </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中医药</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5080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7635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3186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中医(民族医)药专项</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其他中医药支出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5080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7635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3175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计划生育事务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计划生育机构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计划生育服务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1939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其他计划生育事务支出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行政事业单位医疗</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12817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行政单位医疗</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事业单位医疗</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4859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公务员医疗补助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4828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5589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其他行政事业单位医疗支出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财政对基本医疗保险基金的补助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20162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44499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19317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财政对城乡居民基本医疗保险基金的补助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44037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44.7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财政对其他基本医疗保险基金的补助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医疗救助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1793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城乡医疗救助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1698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62.7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疾病医疗救助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优抚对象医疗</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优抚对象医疗救助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医疗保障管理事务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其他医疗保障管理事务支出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其他卫生健康支出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其他卫生健康支出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9.节能环保支出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2918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7570</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4514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环境保护管理事务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应对气候变化管理事务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污染防治</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3203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大气</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1415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水体</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其他污染防治支出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自然生态保护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生态保护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天然林保护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停伐补助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能源节约利用</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能源节能利用</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污染减排</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2067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生态环境监测与信息</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生态环境执法监察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其他污染减排支出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其他节能环保支出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1660</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其他节能环保支出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2851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10.城乡社区支出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10053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11864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3877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5542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504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701</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城管执法</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2462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3661</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工程建设管理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326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438</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其他城乡社区管理事务支出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492</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城乡社区规划与管理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城乡社区规划与管理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城乡社区公共设施</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其他城乡社区公共设施支出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115.4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城乡社区环境卫生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3894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416.0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城乡社区环境卫生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3894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416.0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建设市场管理与监督</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建设市场管理与监督</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4056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4056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11.农林水支出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17448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67826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40136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7388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25808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6599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2536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3113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科技转化与推广服务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病虫害控制</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农产品质量安全</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执法监管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统计监测与信息服务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农业行业业务管理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防灾救灾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农业结构调整补贴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农业生产发展</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农村合作经济</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农业生产支持补贴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农业组织化与产业化经营</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农产品加工与促销</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农业资源保护修复与利用</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成品油价格改革对渔业的补贴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371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对高校毕业生到基层任职补助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其他农业支出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2877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18440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林业和草原</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4250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239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364</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645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877</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森林资源培育</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森林资源管理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2581</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森林生态效益补偿</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动植物保护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湿地保护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执法与监督</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林业草原防灾减灾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312</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其他林业和草原支出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3479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18577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25825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水利行业业务管理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水利工程建设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水利工程运行与维护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水利前期工作</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水利执法监督</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水土保持</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水资源节约管理与保护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防汛</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农田水利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大中型水库移民后期扶持专项支出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1427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农田水利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水利安全监督</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59.6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水利建设移民支出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农村人畜饮水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2289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其他水利支出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1930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8565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22769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扶贫</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2735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农村基础设施建设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生产发展</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其他扶贫支出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2735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1991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农业综合开发</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机构运行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土地治理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其他农业综合开发支出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农村综合改革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2537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13785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对村级一事一议的补助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9093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对村民委员会和村党支部的补助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4212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农村综合改革示范试点补助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其他农村综合改革支出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480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普惠金融发展支出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lef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其他普惠金融发展支出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其他农林水支出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3315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其他农林水支出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3315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1749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12.交通运输支出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18177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50726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12981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公路水路运输</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8528 </w:t>
            </w: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25160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3820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公路建设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2000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其他公路水路运输支出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6314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24755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3621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铁路运输</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3764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铁路路网建设</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3764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成品油价格改革对交通运输的补贴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1125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对城市公交的补贴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对农村道路客运的补贴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对出租车的补贴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车辆购置税支出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4389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4672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8001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车辆购置税用于公路等基础设施建设支出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4389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4672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8001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车辆购置税其他支出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其他交通运输支出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公共交通运营补助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其他交通运输支出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13.资源勘探信息等支出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19587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39393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11932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工业和信息产业监管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10769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74.7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工业和信息产业支持</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其他工业和信息产业监管支出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支持中小企业发展和管理支出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19047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28624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10967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其他支持中小企业发展和管理支出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19047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28624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10967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14.商业服务业等支出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2961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4392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商业流通事务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其他商业流通事务支出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涉外发展服务支出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其他涉外发展服务支出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1918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1210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其他商业服务业等支出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其他商业服务业等支出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224.0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15.自然资源海洋气象等支出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8464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23.4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9662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自然资源事务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8087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9529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土地资源利用与保护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5172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8924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自然资源调查</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国土整治</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事业运行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1379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2074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其他自然资源事务支出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测绘事务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基础测绘</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33.6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133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气象事业机构</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气象探测</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气象信息传输及管理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气象预报预测</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气象服务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气象装备保障维护</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其他气象事务支出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16.住房保障支出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1247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1859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保障性安居工程支出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老旧小区改造</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农村危房改造</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公共租赁住房</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保障性住房租金补贴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209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其他保障性安居工程支出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城乡社区住宅</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908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1397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65.0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住房公积金管理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171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175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其他城乡社区住宅支出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737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1031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17.粮油物资储备支出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粮油事务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85.2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粮食财务挂账利息补贴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其他粮油事务支出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40.5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物资事务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其他物资事务支出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粮油储备</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储备粮油补贴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18.灾害防治及应急管理支出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1235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2361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应急管理事务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633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1253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50.5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行政运行</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543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791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68.7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一般行政管理事务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其他应急管理支出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274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12.9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消防事务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1054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消防应急救援</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其他消防事务支出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560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994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251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地震事务</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防震减灾信息管理</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自然灾害防治</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地质灾害防治</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自然灾害救灾及恢复重建支出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80.8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中央自然灾害生活补助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100.0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地方自然灾害生活补助</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19.预备费</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6000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20.其他支出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22944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37438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3606.7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其他支出</w:t>
            </w:r>
          </w:p>
        </w:tc>
        <w:tc>
          <w:tcPr>
            <w:tcW w:w="134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22944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37438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其他支出</w:t>
            </w:r>
          </w:p>
        </w:tc>
        <w:tc>
          <w:tcPr>
            <w:tcW w:w="1343"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22944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37438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61.3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619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21.债务付息支出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6082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地方政府一般债务付息支出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6082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地方政府一般债券付息支出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2319 </w:t>
            </w: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6082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38.1 </w:t>
            </w: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1972 </w:t>
            </w: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22.债务发行费用支出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3290" w:type="dxa"/>
            <w:shd w:val="clear" w:color="auto" w:fill="auto"/>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地方政府一般债务发行费用支出</w:t>
            </w:r>
          </w:p>
        </w:tc>
        <w:tc>
          <w:tcPr>
            <w:tcW w:w="1343"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1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50 </w:t>
            </w:r>
          </w:p>
        </w:tc>
        <w:tc>
          <w:tcPr>
            <w:tcW w:w="1068"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254" w:type="dxa"/>
            <w:shd w:val="clear" w:color="auto" w:fill="auto"/>
            <w:vAlign w:val="center"/>
          </w:tcPr>
          <w:p>
            <w:pPr>
              <w:widowControl/>
              <w:jc w:val="right"/>
              <w:rPr>
                <w:rFonts w:ascii="Times New Roman" w:hAnsi="Times New Roman" w:eastAsia="宋体" w:cs="Times New Roman"/>
                <w:color w:val="000000"/>
                <w:kern w:val="0"/>
                <w:sz w:val="24"/>
                <w:szCs w:val="24"/>
              </w:rPr>
            </w:pPr>
          </w:p>
        </w:tc>
        <w:tc>
          <w:tcPr>
            <w:tcW w:w="1107"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cs="Times New Roman"/>
          <w:color w:val="000000"/>
        </w:rPr>
      </w:pPr>
    </w:p>
    <w:tbl>
      <w:tblPr>
        <w:tblStyle w:val="10"/>
        <w:tblW w:w="9179" w:type="dxa"/>
        <w:jc w:val="center"/>
        <w:tblInd w:w="0" w:type="dxa"/>
        <w:tblLayout w:type="fixed"/>
        <w:tblCellMar>
          <w:top w:w="0" w:type="dxa"/>
          <w:left w:w="108" w:type="dxa"/>
          <w:bottom w:w="0" w:type="dxa"/>
          <w:right w:w="108" w:type="dxa"/>
        </w:tblCellMar>
      </w:tblPr>
      <w:tblGrid>
        <w:gridCol w:w="9179"/>
      </w:tblGrid>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jc w:val="left"/>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注：1.国防支出下降主要是机构改革科目调整。</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2.教育支出下降主要是受疫情影响学校开学延迟学期缩短。</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ascii="Times New Roman" w:hAnsi="Times New Roman" w:eastAsia="楷体_GB2312" w:cs="Times New Roman"/>
                <w:color w:val="000000"/>
                <w:kern w:val="0"/>
                <w:sz w:val="24"/>
                <w:szCs w:val="24"/>
              </w:rPr>
              <w:t>3.社会保障和就业支出增加主要是企业职工基本养老保险补助增加。</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hint="eastAsia" w:ascii="Times New Roman" w:hAnsi="Times New Roman" w:eastAsia="楷体_GB2312" w:cs="Times New Roman"/>
                <w:color w:val="000000"/>
                <w:kern w:val="0"/>
                <w:sz w:val="24"/>
                <w:szCs w:val="24"/>
              </w:rPr>
              <w:t>4</w:t>
            </w:r>
            <w:r>
              <w:rPr>
                <w:rFonts w:ascii="Times New Roman" w:hAnsi="Times New Roman" w:eastAsia="楷体_GB2312" w:cs="Times New Roman"/>
                <w:color w:val="000000"/>
                <w:kern w:val="0"/>
                <w:sz w:val="24"/>
                <w:szCs w:val="24"/>
              </w:rPr>
              <w:t>.卫生健康支出下降主要是医疗保险基金财政补助</w:t>
            </w:r>
            <w:r>
              <w:rPr>
                <w:rFonts w:hint="eastAsia" w:ascii="Times New Roman" w:hAnsi="Times New Roman" w:eastAsia="楷体_GB2312" w:cs="Times New Roman"/>
                <w:color w:val="000000"/>
                <w:kern w:val="0"/>
                <w:sz w:val="24"/>
                <w:szCs w:val="24"/>
              </w:rPr>
              <w:t>改为</w:t>
            </w:r>
            <w:r>
              <w:rPr>
                <w:rFonts w:ascii="Times New Roman" w:hAnsi="Times New Roman" w:eastAsia="楷体_GB2312" w:cs="Times New Roman"/>
                <w:color w:val="000000"/>
                <w:kern w:val="0"/>
                <w:sz w:val="24"/>
                <w:szCs w:val="24"/>
              </w:rPr>
              <w:t>按月</w:t>
            </w:r>
            <w:r>
              <w:rPr>
                <w:rFonts w:hint="eastAsia" w:ascii="Times New Roman" w:hAnsi="Times New Roman" w:eastAsia="楷体_GB2312" w:cs="Times New Roman"/>
                <w:color w:val="000000"/>
                <w:kern w:val="0"/>
                <w:sz w:val="24"/>
                <w:szCs w:val="24"/>
              </w:rPr>
              <w:t>拨付</w:t>
            </w:r>
            <w:r>
              <w:rPr>
                <w:rFonts w:ascii="Times New Roman" w:hAnsi="Times New Roman" w:eastAsia="楷体_GB2312" w:cs="Times New Roman"/>
                <w:color w:val="000000"/>
                <w:kern w:val="0"/>
                <w:sz w:val="24"/>
                <w:szCs w:val="24"/>
              </w:rPr>
              <w:t xml:space="preserve">。   </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4"/>
                <w:szCs w:val="24"/>
              </w:rPr>
            </w:pPr>
            <w:r>
              <w:rPr>
                <w:rFonts w:hint="eastAsia" w:ascii="Times New Roman" w:hAnsi="Times New Roman" w:eastAsia="楷体_GB2312" w:cs="Times New Roman"/>
                <w:color w:val="000000"/>
                <w:kern w:val="0"/>
                <w:sz w:val="24"/>
                <w:szCs w:val="24"/>
              </w:rPr>
              <w:t>5</w:t>
            </w:r>
            <w:r>
              <w:rPr>
                <w:rFonts w:ascii="Times New Roman" w:hAnsi="Times New Roman" w:eastAsia="楷体_GB2312" w:cs="Times New Roman"/>
                <w:color w:val="000000"/>
                <w:kern w:val="0"/>
                <w:sz w:val="24"/>
                <w:szCs w:val="24"/>
              </w:rPr>
              <w:t>.节能环保支出下降主要是上级补助支出减少。</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4"/>
                <w:szCs w:val="24"/>
              </w:rPr>
            </w:pPr>
            <w:r>
              <w:rPr>
                <w:rFonts w:hint="eastAsia" w:ascii="Times New Roman" w:hAnsi="Times New Roman" w:eastAsia="楷体_GB2312" w:cs="Times New Roman"/>
                <w:color w:val="000000"/>
                <w:kern w:val="0"/>
                <w:sz w:val="24"/>
                <w:szCs w:val="24"/>
              </w:rPr>
              <w:t>6</w:t>
            </w:r>
            <w:r>
              <w:rPr>
                <w:rFonts w:ascii="Times New Roman" w:hAnsi="Times New Roman" w:eastAsia="楷体_GB2312" w:cs="Times New Roman"/>
                <w:color w:val="000000"/>
                <w:kern w:val="0"/>
                <w:sz w:val="24"/>
                <w:szCs w:val="24"/>
              </w:rPr>
              <w:t>.城乡社区支出增加主要是</w:t>
            </w:r>
            <w:r>
              <w:rPr>
                <w:rFonts w:hint="eastAsia" w:ascii="Times New Roman" w:hAnsi="Times New Roman" w:eastAsia="楷体_GB2312" w:cs="Times New Roman"/>
                <w:color w:val="000000"/>
                <w:kern w:val="0"/>
                <w:sz w:val="24"/>
                <w:szCs w:val="24"/>
              </w:rPr>
              <w:t>城乡环境卫生</w:t>
            </w:r>
            <w:r>
              <w:rPr>
                <w:rFonts w:ascii="Times New Roman" w:hAnsi="Times New Roman" w:eastAsia="楷体_GB2312" w:cs="Times New Roman"/>
                <w:color w:val="000000"/>
                <w:kern w:val="0"/>
                <w:sz w:val="24"/>
                <w:szCs w:val="24"/>
              </w:rPr>
              <w:t>支出增加。</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4"/>
                <w:szCs w:val="24"/>
              </w:rPr>
            </w:pPr>
            <w:r>
              <w:rPr>
                <w:rFonts w:hint="eastAsia" w:ascii="Times New Roman" w:hAnsi="Times New Roman" w:eastAsia="楷体_GB2312" w:cs="Times New Roman"/>
                <w:color w:val="000000"/>
                <w:kern w:val="0"/>
                <w:sz w:val="24"/>
                <w:szCs w:val="24"/>
              </w:rPr>
              <w:t>7</w:t>
            </w:r>
            <w:r>
              <w:rPr>
                <w:rFonts w:ascii="Times New Roman" w:hAnsi="Times New Roman" w:eastAsia="楷体_GB2312" w:cs="Times New Roman"/>
                <w:color w:val="000000"/>
                <w:kern w:val="0"/>
                <w:sz w:val="24"/>
                <w:szCs w:val="24"/>
              </w:rPr>
              <w:t>.农林水支出下降主要是钱塘江堤防加固等上级补助</w:t>
            </w:r>
            <w:r>
              <w:rPr>
                <w:rFonts w:hint="eastAsia" w:ascii="Times New Roman" w:hAnsi="Times New Roman" w:eastAsia="楷体_GB2312" w:cs="Times New Roman"/>
                <w:color w:val="000000"/>
                <w:kern w:val="0"/>
                <w:sz w:val="24"/>
                <w:szCs w:val="24"/>
              </w:rPr>
              <w:t>支出</w:t>
            </w:r>
            <w:r>
              <w:rPr>
                <w:rFonts w:ascii="Times New Roman" w:hAnsi="Times New Roman" w:eastAsia="楷体_GB2312" w:cs="Times New Roman"/>
                <w:color w:val="000000"/>
                <w:kern w:val="0"/>
                <w:sz w:val="24"/>
                <w:szCs w:val="24"/>
              </w:rPr>
              <w:t>减少。</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hint="eastAsia" w:ascii="Times New Roman" w:hAnsi="Times New Roman" w:eastAsia="楷体_GB2312" w:cs="Times New Roman"/>
                <w:color w:val="000000"/>
                <w:kern w:val="0"/>
                <w:sz w:val="24"/>
                <w:szCs w:val="24"/>
              </w:rPr>
              <w:t>8</w:t>
            </w:r>
            <w:r>
              <w:rPr>
                <w:rFonts w:ascii="Times New Roman" w:hAnsi="Times New Roman" w:eastAsia="楷体_GB2312" w:cs="Times New Roman"/>
                <w:color w:val="000000"/>
                <w:kern w:val="0"/>
                <w:sz w:val="24"/>
                <w:szCs w:val="24"/>
              </w:rPr>
              <w:t>.交通运输支出增加主要是金建高铁项目及上华至琅琊公路建设项目支出增加。</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hint="eastAsia" w:ascii="Times New Roman" w:hAnsi="Times New Roman" w:eastAsia="楷体_GB2312" w:cs="Times New Roman"/>
                <w:color w:val="000000"/>
                <w:kern w:val="0"/>
                <w:sz w:val="24"/>
                <w:szCs w:val="24"/>
              </w:rPr>
              <w:t>9</w:t>
            </w:r>
            <w:r>
              <w:rPr>
                <w:rFonts w:ascii="Times New Roman" w:hAnsi="Times New Roman" w:eastAsia="楷体_GB2312" w:cs="Times New Roman"/>
                <w:color w:val="000000"/>
                <w:kern w:val="0"/>
                <w:sz w:val="24"/>
                <w:szCs w:val="24"/>
              </w:rPr>
              <w:t>.资源勘探信息等支出增加主要是</w:t>
            </w:r>
            <w:r>
              <w:rPr>
                <w:rFonts w:hint="eastAsia" w:ascii="Times New Roman" w:hAnsi="Times New Roman" w:eastAsia="楷体_GB2312" w:cs="Times New Roman"/>
                <w:color w:val="000000"/>
                <w:kern w:val="0"/>
                <w:sz w:val="24"/>
                <w:szCs w:val="24"/>
              </w:rPr>
              <w:t>扶持企业</w:t>
            </w:r>
            <w:r>
              <w:rPr>
                <w:rFonts w:ascii="Times New Roman" w:hAnsi="Times New Roman" w:eastAsia="楷体_GB2312" w:cs="Times New Roman"/>
                <w:color w:val="000000"/>
                <w:kern w:val="0"/>
                <w:sz w:val="24"/>
                <w:szCs w:val="24"/>
              </w:rPr>
              <w:t>奖励政策支出增加。</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ascii="Times New Roman" w:hAnsi="Times New Roman" w:eastAsia="楷体_GB2312" w:cs="Times New Roman"/>
                <w:color w:val="000000"/>
                <w:kern w:val="0"/>
                <w:sz w:val="24"/>
                <w:szCs w:val="24"/>
              </w:rPr>
              <w:t>1</w:t>
            </w:r>
            <w:r>
              <w:rPr>
                <w:rFonts w:hint="eastAsia" w:ascii="Times New Roman" w:hAnsi="Times New Roman" w:eastAsia="楷体_GB2312" w:cs="Times New Roman"/>
                <w:color w:val="000000"/>
                <w:kern w:val="0"/>
                <w:sz w:val="24"/>
                <w:szCs w:val="24"/>
              </w:rPr>
              <w:t>0</w:t>
            </w:r>
            <w:r>
              <w:rPr>
                <w:rFonts w:ascii="Times New Roman" w:hAnsi="Times New Roman" w:eastAsia="楷体_GB2312" w:cs="Times New Roman"/>
                <w:color w:val="000000"/>
                <w:kern w:val="0"/>
                <w:sz w:val="24"/>
                <w:szCs w:val="24"/>
              </w:rPr>
              <w:t>.自然资源海洋气象等支出下降主要是上级补助支出减少。</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ascii="Times New Roman" w:hAnsi="Times New Roman" w:eastAsia="楷体_GB2312" w:cs="Times New Roman"/>
                <w:color w:val="000000"/>
                <w:kern w:val="0"/>
                <w:sz w:val="24"/>
                <w:szCs w:val="24"/>
              </w:rPr>
              <w:t>1</w:t>
            </w:r>
            <w:r>
              <w:rPr>
                <w:rFonts w:hint="eastAsia" w:ascii="Times New Roman" w:hAnsi="Times New Roman" w:eastAsia="楷体_GB2312" w:cs="Times New Roman"/>
                <w:color w:val="000000"/>
                <w:kern w:val="0"/>
                <w:sz w:val="24"/>
                <w:szCs w:val="24"/>
              </w:rPr>
              <w:t>1</w:t>
            </w:r>
            <w:r>
              <w:rPr>
                <w:rFonts w:ascii="Times New Roman" w:hAnsi="Times New Roman" w:eastAsia="楷体_GB2312" w:cs="Times New Roman"/>
                <w:color w:val="000000"/>
                <w:kern w:val="0"/>
                <w:sz w:val="24"/>
                <w:szCs w:val="24"/>
              </w:rPr>
              <w:t>.粮油物资储备支出下降主要是机构改革经费划转。</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ascii="Times New Roman" w:hAnsi="Times New Roman" w:eastAsia="楷体_GB2312" w:cs="Times New Roman"/>
                <w:color w:val="000000"/>
                <w:kern w:val="0"/>
                <w:sz w:val="24"/>
                <w:szCs w:val="24"/>
              </w:rPr>
              <w:t>1</w:t>
            </w:r>
            <w:r>
              <w:rPr>
                <w:rFonts w:hint="eastAsia" w:ascii="Times New Roman" w:hAnsi="Times New Roman" w:eastAsia="楷体_GB2312" w:cs="Times New Roman"/>
                <w:color w:val="000000"/>
                <w:kern w:val="0"/>
                <w:sz w:val="24"/>
                <w:szCs w:val="24"/>
              </w:rPr>
              <w:t>2</w:t>
            </w:r>
            <w:r>
              <w:rPr>
                <w:rFonts w:ascii="Times New Roman" w:hAnsi="Times New Roman" w:eastAsia="楷体_GB2312" w:cs="Times New Roman"/>
                <w:color w:val="000000"/>
                <w:kern w:val="0"/>
                <w:sz w:val="24"/>
                <w:szCs w:val="24"/>
              </w:rPr>
              <w:t>.灾害防治及应急管理支出增加主要是消防支出增加。</w:t>
            </w:r>
          </w:p>
        </w:tc>
      </w:tr>
      <w:tr>
        <w:tblPrEx>
          <w:tblLayout w:type="fixed"/>
          <w:tblCellMar>
            <w:top w:w="0" w:type="dxa"/>
            <w:left w:w="108" w:type="dxa"/>
            <w:bottom w:w="0" w:type="dxa"/>
            <w:right w:w="108" w:type="dxa"/>
          </w:tblCellMar>
        </w:tblPrEx>
        <w:trPr>
          <w:trHeight w:val="285" w:hRule="atLeast"/>
          <w:jc w:val="center"/>
        </w:trPr>
        <w:tc>
          <w:tcPr>
            <w:tcW w:w="9179" w:type="dxa"/>
            <w:tcBorders>
              <w:top w:val="nil"/>
              <w:left w:val="nil"/>
              <w:bottom w:val="nil"/>
              <w:right w:val="nil"/>
            </w:tcBorders>
            <w:shd w:val="clear" w:color="auto" w:fill="auto"/>
            <w:vAlign w:val="center"/>
          </w:tcPr>
          <w:p>
            <w:pPr>
              <w:widowControl/>
              <w:spacing w:line="440" w:lineRule="exact"/>
              <w:ind w:firstLine="480" w:firstLineChars="200"/>
              <w:jc w:val="left"/>
              <w:rPr>
                <w:rFonts w:ascii="Times New Roman" w:hAnsi="Times New Roman" w:eastAsia="楷体_GB2312" w:cs="Times New Roman"/>
                <w:color w:val="000000"/>
                <w:kern w:val="0"/>
                <w:sz w:val="20"/>
                <w:szCs w:val="20"/>
              </w:rPr>
            </w:pPr>
            <w:r>
              <w:rPr>
                <w:rFonts w:ascii="Times New Roman" w:hAnsi="Times New Roman" w:eastAsia="楷体_GB2312" w:cs="Times New Roman"/>
                <w:color w:val="000000"/>
                <w:kern w:val="0"/>
                <w:sz w:val="24"/>
                <w:szCs w:val="24"/>
              </w:rPr>
              <w:t>1</w:t>
            </w:r>
            <w:r>
              <w:rPr>
                <w:rFonts w:hint="eastAsia" w:ascii="Times New Roman" w:hAnsi="Times New Roman" w:eastAsia="楷体_GB2312" w:cs="Times New Roman"/>
                <w:color w:val="000000"/>
                <w:kern w:val="0"/>
                <w:sz w:val="24"/>
                <w:szCs w:val="24"/>
              </w:rPr>
              <w:t>3</w:t>
            </w:r>
            <w:r>
              <w:rPr>
                <w:rFonts w:ascii="Times New Roman" w:hAnsi="Times New Roman" w:eastAsia="楷体_GB2312" w:cs="Times New Roman"/>
                <w:color w:val="000000"/>
                <w:kern w:val="0"/>
                <w:sz w:val="24"/>
                <w:szCs w:val="24"/>
              </w:rPr>
              <w:t>.其他支出增加主要是新增行知学院迁建工程等PPP支出。</w:t>
            </w:r>
          </w:p>
        </w:tc>
      </w:tr>
    </w:tbl>
    <w:p>
      <w:pPr>
        <w:rPr>
          <w:rFonts w:ascii="Times New Roman" w:hAnsi="Times New Roman" w:eastAsia="Times New Roman" w:cs="Times New Roman"/>
          <w:color w:val="000000"/>
          <w:kern w:val="0"/>
          <w:sz w:val="20"/>
          <w:szCs w:val="20"/>
        </w:rPr>
      </w:pPr>
    </w:p>
    <w:p>
      <w:pPr>
        <w:rPr>
          <w:rFonts w:ascii="Times New Roman" w:hAnsi="Times New Roman" w:eastAsia="Times New Roman" w:cs="Times New Roman"/>
          <w:color w:val="000000"/>
          <w:kern w:val="0"/>
          <w:sz w:val="20"/>
          <w:szCs w:val="20"/>
        </w:rPr>
      </w:pPr>
    </w:p>
    <w:p>
      <w:pPr>
        <w:rPr>
          <w:rFonts w:ascii="Times New Roman" w:hAnsi="Times New Roman" w:eastAsia="Times New Roman" w:cs="Times New Roman"/>
          <w:color w:val="000000"/>
          <w:kern w:val="0"/>
          <w:sz w:val="20"/>
          <w:szCs w:val="20"/>
        </w:rPr>
      </w:pPr>
    </w:p>
    <w:p>
      <w:pPr>
        <w:rPr>
          <w:rFonts w:ascii="Times New Roman" w:hAnsi="Times New Roman" w:eastAsia="Times New Roman" w:cs="Times New Roman"/>
          <w:color w:val="000000"/>
          <w:kern w:val="0"/>
          <w:sz w:val="20"/>
          <w:szCs w:val="2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jc w:val="both"/>
        <w:rPr>
          <w:rFonts w:ascii="Times New Roman" w:hAnsi="Times New Roman" w:eastAsia="方正小标宋简体" w:cs="Times New Roman"/>
          <w:color w:val="000000"/>
          <w:spacing w:val="-10"/>
          <w:kern w:val="0"/>
          <w:sz w:val="44"/>
          <w:szCs w:val="44"/>
        </w:rPr>
      </w:pPr>
    </w:p>
    <w:p>
      <w:pPr>
        <w:jc w:val="center"/>
        <w:rPr>
          <w:rFonts w:ascii="Times New Roman" w:hAnsi="Times New Roman" w:eastAsia="方正小标宋简体" w:cs="Times New Roman"/>
          <w:color w:val="000000"/>
          <w:spacing w:val="-10"/>
          <w:kern w:val="0"/>
          <w:sz w:val="44"/>
          <w:szCs w:val="44"/>
        </w:rPr>
      </w:pPr>
      <w:r>
        <w:rPr>
          <w:rFonts w:ascii="Times New Roman" w:hAnsi="Times New Roman" w:eastAsia="方正小标宋简体" w:cs="Times New Roman"/>
          <w:color w:val="000000"/>
          <w:spacing w:val="-10"/>
          <w:kern w:val="0"/>
          <w:sz w:val="44"/>
          <w:szCs w:val="44"/>
        </w:rPr>
        <w:t>2020年1至6月政府性基金收入预算执行情况表</w:t>
      </w:r>
    </w:p>
    <w:p>
      <w:pPr>
        <w:spacing w:after="156" w:afterLines="50" w:line="400" w:lineRule="exact"/>
        <w:rPr>
          <w:rFonts w:ascii="Times New Roman" w:hAnsi="Times New Roman" w:cs="Times New Roman"/>
          <w:color w:val="000000"/>
        </w:rPr>
      </w:pPr>
      <w:r>
        <w:rPr>
          <w:rFonts w:hint="eastAsia" w:ascii="楷体_GB2312" w:hAnsi="宋体" w:eastAsia="楷体_GB2312" w:cs="宋体"/>
          <w:kern w:val="0"/>
          <w:sz w:val="24"/>
          <w:szCs w:val="24"/>
        </w:rPr>
        <w:t xml:space="preserve">表十七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4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6"/>
        <w:gridCol w:w="1288"/>
        <w:gridCol w:w="1036"/>
        <w:gridCol w:w="1156"/>
        <w:gridCol w:w="1198"/>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收  入  科  目</w:t>
            </w:r>
          </w:p>
        </w:tc>
        <w:tc>
          <w:tcPr>
            <w:tcW w:w="1288"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1-6月份执行数</w:t>
            </w:r>
          </w:p>
        </w:tc>
        <w:tc>
          <w:tcPr>
            <w:tcW w:w="1036"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2020年预算</w:t>
            </w:r>
          </w:p>
        </w:tc>
        <w:tc>
          <w:tcPr>
            <w:tcW w:w="1156"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完成</w:t>
            </w:r>
          </w:p>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预算数%</w:t>
            </w:r>
          </w:p>
        </w:tc>
        <w:tc>
          <w:tcPr>
            <w:tcW w:w="1198"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2019年同期实绩</w:t>
            </w:r>
          </w:p>
        </w:tc>
        <w:tc>
          <w:tcPr>
            <w:tcW w:w="1356"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比2019年±%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     计</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128222</w:t>
            </w:r>
          </w:p>
        </w:tc>
        <w:tc>
          <w:tcPr>
            <w:tcW w:w="103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544600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89547</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1</w:t>
            </w:r>
            <w:r>
              <w:rPr>
                <w:rFonts w:ascii="Times New Roman" w:hAnsi="Times New Roman" w:eastAsia="宋体" w:cs="Times New Roman"/>
                <w:color w:val="000000"/>
                <w:kern w:val="0"/>
                <w:sz w:val="24"/>
                <w:szCs w:val="24"/>
              </w:rPr>
              <w:t>.国有土地使用权出让收入</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86134</w:t>
            </w:r>
          </w:p>
        </w:tc>
        <w:tc>
          <w:tcPr>
            <w:tcW w:w="103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470000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18.3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82609</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2</w:t>
            </w:r>
            <w:r>
              <w:rPr>
                <w:rFonts w:ascii="Times New Roman" w:hAnsi="Times New Roman" w:eastAsia="宋体" w:cs="Times New Roman"/>
                <w:color w:val="000000"/>
                <w:kern w:val="0"/>
                <w:sz w:val="24"/>
                <w:szCs w:val="24"/>
              </w:rPr>
              <w:t>.国有土地收益基金收入</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2072</w:t>
            </w:r>
          </w:p>
        </w:tc>
        <w:tc>
          <w:tcPr>
            <w:tcW w:w="1036"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10.9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4958</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3</w:t>
            </w:r>
            <w:r>
              <w:rPr>
                <w:rFonts w:ascii="Times New Roman" w:hAnsi="Times New Roman" w:eastAsia="宋体" w:cs="Times New Roman"/>
                <w:color w:val="000000"/>
                <w:kern w:val="0"/>
                <w:sz w:val="24"/>
                <w:szCs w:val="24"/>
              </w:rPr>
              <w:t>.农业土地开发资金收入</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247</w:t>
            </w:r>
          </w:p>
        </w:tc>
        <w:tc>
          <w:tcPr>
            <w:tcW w:w="1036"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24.7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228</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4.彩票公益金收入</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229</w:t>
            </w:r>
          </w:p>
        </w:tc>
        <w:tc>
          <w:tcPr>
            <w:tcW w:w="1036"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25.4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404</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5.城市基础设施配套费收入</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437</w:t>
            </w:r>
          </w:p>
        </w:tc>
        <w:tc>
          <w:tcPr>
            <w:tcW w:w="1036"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87.4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1580.8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6.污水处理费收入</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1017</w:t>
            </w:r>
          </w:p>
        </w:tc>
        <w:tc>
          <w:tcPr>
            <w:tcW w:w="1036"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33.9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1319</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3" w:hRule="atLeast"/>
          <w:jc w:val="center"/>
        </w:trPr>
        <w:tc>
          <w:tcPr>
            <w:tcW w:w="3426"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7.其他政府性基金收入</w:t>
            </w:r>
          </w:p>
        </w:tc>
        <w:tc>
          <w:tcPr>
            <w:tcW w:w="128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38086</w:t>
            </w:r>
          </w:p>
        </w:tc>
        <w:tc>
          <w:tcPr>
            <w:tcW w:w="1036"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50200</w:t>
            </w:r>
          </w:p>
        </w:tc>
        <w:tc>
          <w:tcPr>
            <w:tcW w:w="11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75.9 </w:t>
            </w:r>
          </w:p>
        </w:tc>
        <w:tc>
          <w:tcPr>
            <w:tcW w:w="1198"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356"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1269433.3 </w:t>
            </w:r>
          </w:p>
        </w:tc>
      </w:tr>
    </w:tbl>
    <w:p/>
    <w:tbl>
      <w:tblPr>
        <w:tblStyle w:val="10"/>
        <w:tblW w:w="9509" w:type="dxa"/>
        <w:jc w:val="center"/>
        <w:tblInd w:w="0" w:type="dxa"/>
        <w:tblLayout w:type="fixed"/>
        <w:tblCellMar>
          <w:top w:w="0" w:type="dxa"/>
          <w:left w:w="108" w:type="dxa"/>
          <w:bottom w:w="0" w:type="dxa"/>
          <w:right w:w="108" w:type="dxa"/>
        </w:tblCellMar>
      </w:tblPr>
      <w:tblGrid>
        <w:gridCol w:w="9509"/>
      </w:tblGrid>
      <w:tr>
        <w:tblPrEx>
          <w:tblLayout w:type="fixed"/>
          <w:tblCellMar>
            <w:top w:w="0" w:type="dxa"/>
            <w:left w:w="108" w:type="dxa"/>
            <w:bottom w:w="0" w:type="dxa"/>
            <w:right w:w="108" w:type="dxa"/>
          </w:tblCellMar>
        </w:tblPrEx>
        <w:trPr>
          <w:trHeight w:val="371" w:hRule="atLeast"/>
          <w:jc w:val="center"/>
        </w:trPr>
        <w:tc>
          <w:tcPr>
            <w:tcW w:w="9509"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注：1.国有土地收益基金收入下降主要是</w:t>
            </w:r>
            <w:r>
              <w:rPr>
                <w:rFonts w:hint="eastAsia" w:ascii="Times New Roman" w:hAnsi="Times New Roman" w:eastAsia="楷体_GB2312" w:cs="Times New Roman"/>
                <w:color w:val="000000"/>
                <w:kern w:val="0"/>
                <w:sz w:val="22"/>
              </w:rPr>
              <w:t>通过招、拍、挂的国有土地出让收入较上年同期减少。</w:t>
            </w:r>
          </w:p>
        </w:tc>
      </w:tr>
      <w:tr>
        <w:tblPrEx>
          <w:tblLayout w:type="fixed"/>
          <w:tblCellMar>
            <w:top w:w="0" w:type="dxa"/>
            <w:left w:w="108" w:type="dxa"/>
            <w:bottom w:w="0" w:type="dxa"/>
            <w:right w:w="108" w:type="dxa"/>
          </w:tblCellMar>
        </w:tblPrEx>
        <w:trPr>
          <w:trHeight w:val="371" w:hRule="atLeast"/>
          <w:jc w:val="center"/>
        </w:trPr>
        <w:tc>
          <w:tcPr>
            <w:tcW w:w="9509"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 xml:space="preserve">    2.彩票公益金收入下降主要是</w:t>
            </w:r>
            <w:r>
              <w:rPr>
                <w:rFonts w:hint="eastAsia" w:ascii="Times New Roman" w:hAnsi="Times New Roman" w:eastAsia="楷体_GB2312" w:cs="Times New Roman"/>
                <w:color w:val="000000"/>
                <w:kern w:val="0"/>
                <w:sz w:val="22"/>
              </w:rPr>
              <w:t>受疫情影响彩票销售收入下降，省返还相应减少。</w:t>
            </w:r>
          </w:p>
        </w:tc>
      </w:tr>
      <w:tr>
        <w:tblPrEx>
          <w:tblLayout w:type="fixed"/>
          <w:tblCellMar>
            <w:top w:w="0" w:type="dxa"/>
            <w:left w:w="108" w:type="dxa"/>
            <w:bottom w:w="0" w:type="dxa"/>
            <w:right w:w="108" w:type="dxa"/>
          </w:tblCellMar>
        </w:tblPrEx>
        <w:trPr>
          <w:trHeight w:val="356" w:hRule="atLeast"/>
          <w:jc w:val="center"/>
        </w:trPr>
        <w:tc>
          <w:tcPr>
            <w:tcW w:w="9509"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FF"/>
                <w:kern w:val="0"/>
                <w:sz w:val="22"/>
              </w:rPr>
              <w:t xml:space="preserve">  </w:t>
            </w:r>
            <w:r>
              <w:rPr>
                <w:rFonts w:ascii="Times New Roman" w:hAnsi="Times New Roman" w:eastAsia="楷体_GB2312" w:cs="Times New Roman"/>
                <w:kern w:val="0"/>
                <w:sz w:val="22"/>
              </w:rPr>
              <w:t xml:space="preserve">  3.城市基础设施配套费收入增加主要是</w:t>
            </w:r>
            <w:r>
              <w:rPr>
                <w:rFonts w:hint="eastAsia" w:ascii="Times New Roman" w:hAnsi="Times New Roman" w:eastAsia="楷体_GB2312" w:cs="Times New Roman"/>
                <w:kern w:val="0"/>
                <w:sz w:val="22"/>
              </w:rPr>
              <w:t>2019年收入于今年入库。</w:t>
            </w:r>
          </w:p>
        </w:tc>
      </w:tr>
      <w:tr>
        <w:tblPrEx>
          <w:tblLayout w:type="fixed"/>
          <w:tblCellMar>
            <w:top w:w="0" w:type="dxa"/>
            <w:left w:w="108" w:type="dxa"/>
            <w:bottom w:w="0" w:type="dxa"/>
            <w:right w:w="108" w:type="dxa"/>
          </w:tblCellMar>
        </w:tblPrEx>
        <w:trPr>
          <w:trHeight w:val="371" w:hRule="atLeast"/>
          <w:jc w:val="center"/>
        </w:trPr>
        <w:tc>
          <w:tcPr>
            <w:tcW w:w="9509"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 xml:space="preserve">    4.</w:t>
            </w:r>
            <w:r>
              <w:rPr>
                <w:rFonts w:ascii="Times New Roman" w:hAnsi="Times New Roman" w:eastAsia="楷体_GB2312" w:cs="Times New Roman"/>
                <w:color w:val="000000"/>
                <w:kern w:val="0"/>
                <w:sz w:val="24"/>
                <w:szCs w:val="24"/>
              </w:rPr>
              <w:t>其他政府性基金收入增加主要是土地指标调剂款收入增加。</w:t>
            </w:r>
          </w:p>
        </w:tc>
      </w:tr>
      <w:tr>
        <w:tblPrEx>
          <w:tblLayout w:type="fixed"/>
          <w:tblCellMar>
            <w:top w:w="0" w:type="dxa"/>
            <w:left w:w="108" w:type="dxa"/>
            <w:bottom w:w="0" w:type="dxa"/>
            <w:right w:w="108" w:type="dxa"/>
          </w:tblCellMar>
        </w:tblPrEx>
        <w:trPr>
          <w:trHeight w:val="371" w:hRule="atLeast"/>
          <w:jc w:val="center"/>
        </w:trPr>
        <w:tc>
          <w:tcPr>
            <w:tcW w:w="9509" w:type="dxa"/>
            <w:tcBorders>
              <w:top w:val="nil"/>
              <w:left w:val="nil"/>
              <w:bottom w:val="nil"/>
              <w:right w:val="nil"/>
            </w:tcBorders>
            <w:shd w:val="clear" w:color="auto" w:fill="auto"/>
            <w:vAlign w:val="center"/>
          </w:tcPr>
          <w:p>
            <w:pPr>
              <w:widowControl/>
              <w:ind w:firstLine="391" w:firstLineChars="178"/>
              <w:jc w:val="left"/>
              <w:rPr>
                <w:rFonts w:ascii="Times New Roman" w:hAnsi="Times New Roman" w:eastAsia="楷体_GB2312" w:cs="Times New Roman"/>
                <w:color w:val="000000"/>
                <w:kern w:val="0"/>
                <w:sz w:val="22"/>
              </w:rPr>
            </w:pPr>
          </w:p>
        </w:tc>
      </w:tr>
    </w:tbl>
    <w:p>
      <w:pPr>
        <w:jc w:val="center"/>
        <w:rPr>
          <w:rFonts w:ascii="Times New Roman" w:hAnsi="Times New Roman" w:eastAsia="方正小标宋简体" w:cs="Times New Roman"/>
          <w:color w:val="000000"/>
          <w:kern w:val="0"/>
          <w:sz w:val="44"/>
          <w:szCs w:val="44"/>
        </w:rPr>
      </w:pPr>
    </w:p>
    <w:p>
      <w:pPr>
        <w:jc w:val="center"/>
        <w:rPr>
          <w:rFonts w:ascii="Times New Roman" w:hAnsi="Times New Roman" w:eastAsia="方正小标宋简体" w:cs="Times New Roman"/>
          <w:color w:val="000000"/>
          <w:kern w:val="0"/>
          <w:sz w:val="44"/>
          <w:szCs w:val="44"/>
        </w:rPr>
      </w:pPr>
    </w:p>
    <w:p>
      <w:pPr>
        <w:jc w:val="center"/>
        <w:rPr>
          <w:rFonts w:ascii="Times New Roman" w:hAnsi="Times New Roman" w:eastAsia="方正小标宋简体" w:cs="Times New Roman"/>
          <w:color w:val="000000"/>
          <w:kern w:val="0"/>
          <w:sz w:val="44"/>
          <w:szCs w:val="44"/>
        </w:rPr>
      </w:pPr>
    </w:p>
    <w:p>
      <w:pPr>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2020年1至6月政府性基金支出预算执行情况</w:t>
      </w:r>
    </w:p>
    <w:p>
      <w:pPr>
        <w:spacing w:after="156" w:afterLines="50" w:line="400" w:lineRule="exact"/>
        <w:rPr>
          <w:sz w:val="24"/>
          <w:szCs w:val="24"/>
        </w:rPr>
      </w:pPr>
      <w:r>
        <w:rPr>
          <w:rFonts w:hint="eastAsia" w:ascii="楷体_GB2312" w:hAnsi="宋体" w:eastAsia="楷体_GB2312" w:cs="宋体"/>
          <w:kern w:val="0"/>
          <w:sz w:val="24"/>
          <w:szCs w:val="24"/>
        </w:rPr>
        <w:t xml:space="preserve">表十八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8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08"/>
        <w:gridCol w:w="1302"/>
        <w:gridCol w:w="1303"/>
        <w:gridCol w:w="1302"/>
        <w:gridCol w:w="1303"/>
        <w:gridCol w:w="1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9" w:hRule="atLeast"/>
          <w:tblHeader/>
          <w:jc w:val="center"/>
        </w:trPr>
        <w:tc>
          <w:tcPr>
            <w:tcW w:w="3308" w:type="dxa"/>
            <w:shd w:val="clear" w:color="auto" w:fill="auto"/>
            <w:noWrap/>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支 出 科 目</w:t>
            </w:r>
          </w:p>
        </w:tc>
        <w:tc>
          <w:tcPr>
            <w:tcW w:w="1302"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1-6月份</w:t>
            </w:r>
          </w:p>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1303"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w:t>
            </w:r>
          </w:p>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w:t>
            </w:r>
          </w:p>
        </w:tc>
        <w:tc>
          <w:tcPr>
            <w:tcW w:w="1302"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完成预算数%</w:t>
            </w:r>
          </w:p>
        </w:tc>
        <w:tc>
          <w:tcPr>
            <w:tcW w:w="1303"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w:t>
            </w:r>
          </w:p>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同期实绩</w:t>
            </w:r>
          </w:p>
        </w:tc>
        <w:tc>
          <w:tcPr>
            <w:tcW w:w="1303"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比2019年±%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一、本级支出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124945</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470412</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26.6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75274</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66.0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1.社会保障和就业支出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3003</w:t>
            </w:r>
          </w:p>
        </w:tc>
        <w:tc>
          <w:tcPr>
            <w:tcW w:w="1303" w:type="dxa"/>
            <w:shd w:val="clear" w:color="auto" w:fill="auto"/>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4436</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67.7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2788</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大中型水库移民后期扶持基金支出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3003</w:t>
            </w: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4023</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移民补助</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1549</w:t>
            </w: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2260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2392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基础设施建设和经济发展</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1454</w:t>
            </w: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1763</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小型水库移民扶助基金及对应专项债务收入安排的支出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396</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基础设施建设和经济发展</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413</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2.城乡社区支出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85518</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420755</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20.3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65859</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国有土地使用权出让收入及对应专项债务收入安排的支出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83228</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398260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63072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征地和拆迁补偿支出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8310</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40000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2933</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土地开发支出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7347</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95000</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18608</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城市建设支出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18316</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123581</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5945</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农村基础设施建设支出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44870</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12300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补助被征地农民支出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4181</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51000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23141</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土地出让业务支出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165</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3703</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1593</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廉租住房支出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10000</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棚户区改造支出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48865</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10750</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其他国有土地使用权出让收入安排的支出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13811</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国有土地收益基金及对应专项债务收入安排的支出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1809</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1464</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土地开发支出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1809</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19000</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1464</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其他国有土地收益基金支出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农业土地开发资金安排的支出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城市基础设施配套费安排的支出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495</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其他城市基础设施配套费安排的支出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495</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污水处理费安排的支出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468</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1309</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污水处理设施建设和运营</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457</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代征手续费</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3.农林水支出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98.2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89.7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大中型水库库区基金安排的支出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基础设施建设和经济发展</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其他大中型水库库区基金支出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4.文化旅游体育与传媒支出</w:t>
            </w:r>
          </w:p>
        </w:tc>
        <w:tc>
          <w:tcPr>
            <w:tcW w:w="1302" w:type="dxa"/>
            <w:shd w:val="clear" w:color="auto" w:fill="auto"/>
            <w:vAlign w:val="center"/>
          </w:tcPr>
          <w:p>
            <w:pPr>
              <w:widowControl/>
              <w:spacing w:line="500" w:lineRule="exact"/>
              <w:jc w:val="left"/>
              <w:textAlignment w:val="center"/>
              <w:rPr>
                <w:rFonts w:ascii="Times New Roman" w:hAnsi="Times New Roman" w:eastAsia="宋体" w:cs="Times New Roman"/>
                <w:color w:val="000000"/>
                <w:kern w:val="0"/>
                <w:sz w:val="24"/>
                <w:szCs w:val="24"/>
              </w:rPr>
            </w:pPr>
          </w:p>
        </w:tc>
        <w:tc>
          <w:tcPr>
            <w:tcW w:w="1303" w:type="dxa"/>
            <w:shd w:val="clear" w:color="auto" w:fill="auto"/>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    </w:t>
            </w:r>
            <w:r>
              <w:rPr>
                <w:rFonts w:ascii="Times New Roman" w:hAnsi="Times New Roman" w:eastAsia="宋体" w:cs="Times New Roman"/>
                <w:color w:val="000000"/>
                <w:kern w:val="0"/>
                <w:sz w:val="24"/>
                <w:szCs w:val="24"/>
              </w:rPr>
              <w:t>旅游发展基金支出</w:t>
            </w:r>
          </w:p>
        </w:tc>
        <w:tc>
          <w:tcPr>
            <w:tcW w:w="1302" w:type="dxa"/>
            <w:shd w:val="clear" w:color="auto" w:fill="auto"/>
            <w:vAlign w:val="center"/>
          </w:tcPr>
          <w:p>
            <w:pPr>
              <w:widowControl/>
              <w:spacing w:line="500" w:lineRule="exact"/>
              <w:jc w:val="left"/>
              <w:textAlignment w:val="center"/>
              <w:rPr>
                <w:rFonts w:ascii="Times New Roman" w:hAnsi="Times New Roman" w:eastAsia="宋体" w:cs="Times New Roman"/>
                <w:color w:val="000000"/>
                <w:kern w:val="0"/>
                <w:sz w:val="24"/>
                <w:szCs w:val="24"/>
              </w:rPr>
            </w:pPr>
          </w:p>
        </w:tc>
        <w:tc>
          <w:tcPr>
            <w:tcW w:w="1303" w:type="dxa"/>
            <w:shd w:val="clear" w:color="auto" w:fill="auto"/>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     </w:t>
            </w:r>
            <w:r>
              <w:rPr>
                <w:rFonts w:ascii="Times New Roman" w:hAnsi="Times New Roman" w:eastAsia="宋体" w:cs="Times New Roman"/>
                <w:color w:val="000000"/>
                <w:kern w:val="0"/>
                <w:sz w:val="24"/>
                <w:szCs w:val="24"/>
              </w:rPr>
              <w:t xml:space="preserve"> 地方旅游开发项目补助</w:t>
            </w:r>
          </w:p>
        </w:tc>
        <w:tc>
          <w:tcPr>
            <w:tcW w:w="1302" w:type="dxa"/>
            <w:shd w:val="clear" w:color="auto" w:fill="auto"/>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5.交通运输支出</w:t>
            </w:r>
          </w:p>
        </w:tc>
        <w:tc>
          <w:tcPr>
            <w:tcW w:w="1302" w:type="dxa"/>
            <w:shd w:val="clear" w:color="auto" w:fill="auto"/>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4600</w:t>
            </w:r>
          </w:p>
        </w:tc>
        <w:tc>
          <w:tcPr>
            <w:tcW w:w="1303" w:type="dxa"/>
            <w:shd w:val="clear" w:color="auto" w:fill="auto"/>
            <w:vAlign w:val="center"/>
          </w:tcPr>
          <w:p>
            <w:pPr>
              <w:widowControl/>
              <w:spacing w:line="50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政府收费公路专项债券收入安排的支出</w:t>
            </w:r>
          </w:p>
        </w:tc>
        <w:tc>
          <w:tcPr>
            <w:tcW w:w="1302"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4600</w:t>
            </w:r>
          </w:p>
        </w:tc>
        <w:tc>
          <w:tcPr>
            <w:tcW w:w="1303" w:type="dxa"/>
            <w:shd w:val="clear" w:color="auto" w:fill="auto"/>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6.其他支出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26104</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33157</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78.7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847</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2981.9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其他政府性基金及对应专项债务收入安排的支出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25514</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30151</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彩票公益金安排的支出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589</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3006</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694</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用于社会福利的彩票公益金支出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212</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476</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用于体育事业的彩票公益金支出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330</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184</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用于教育事业的彩票公益金支出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用于残疾人事业的彩票公益金支出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295</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用于其他社会公益事业的彩票公益金支出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7.债务付息支出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5445</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11700</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46.5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5635</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地方政府专项债务付息支出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国有土地使用权出让金债务付息支出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5445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11700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5635</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spacing w:line="500" w:lineRule="exact"/>
              <w:textAlignment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8.债务发行费用支出</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02"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spacing w:line="50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地方政府专项债务发行费用支出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3308" w:type="dxa"/>
            <w:shd w:val="clear" w:color="auto" w:fill="auto"/>
            <w:vAlign w:val="center"/>
          </w:tcPr>
          <w:p>
            <w:pPr>
              <w:widowControl/>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国有土地使用权出让金债务发行费用支出</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302"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303"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eastAsia="楷体_GB2312" w:cs="Times New Roman"/>
        </w:rPr>
      </w:pPr>
    </w:p>
    <w:tbl>
      <w:tblPr>
        <w:tblStyle w:val="10"/>
        <w:tblW w:w="9821" w:type="dxa"/>
        <w:jc w:val="center"/>
        <w:tblInd w:w="0" w:type="dxa"/>
        <w:tblLayout w:type="fixed"/>
        <w:tblCellMar>
          <w:top w:w="0" w:type="dxa"/>
          <w:left w:w="108" w:type="dxa"/>
          <w:bottom w:w="0" w:type="dxa"/>
          <w:right w:w="108" w:type="dxa"/>
        </w:tblCellMar>
      </w:tblPr>
      <w:tblGrid>
        <w:gridCol w:w="9821"/>
      </w:tblGrid>
      <w:tr>
        <w:tblPrEx>
          <w:tblLayout w:type="fixed"/>
          <w:tblCellMar>
            <w:top w:w="0" w:type="dxa"/>
            <w:left w:w="108" w:type="dxa"/>
            <w:bottom w:w="0" w:type="dxa"/>
            <w:right w:w="108" w:type="dxa"/>
          </w:tblCellMar>
        </w:tblPrEx>
        <w:trPr>
          <w:trHeight w:val="394" w:hRule="atLeast"/>
          <w:jc w:val="center"/>
        </w:trPr>
        <w:tc>
          <w:tcPr>
            <w:tcW w:w="9821" w:type="dxa"/>
            <w:tcBorders>
              <w:top w:val="nil"/>
              <w:left w:val="nil"/>
              <w:bottom w:val="nil"/>
              <w:right w:val="nil"/>
            </w:tcBorders>
            <w:shd w:val="clear" w:color="auto" w:fill="auto"/>
            <w:vAlign w:val="center"/>
          </w:tcPr>
          <w:p>
            <w:pPr>
              <w:widowControl/>
              <w:jc w:val="left"/>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注：1.城乡社区支出增加主要是</w:t>
            </w:r>
            <w:r>
              <w:rPr>
                <w:rFonts w:hint="eastAsia" w:ascii="Times New Roman" w:hAnsi="Times New Roman" w:eastAsia="楷体_GB2312" w:cs="Times New Roman"/>
                <w:color w:val="000000"/>
                <w:kern w:val="0"/>
                <w:sz w:val="24"/>
                <w:szCs w:val="24"/>
              </w:rPr>
              <w:t>乡镇街道、开发区出让金补助支出增加。</w:t>
            </w:r>
          </w:p>
        </w:tc>
      </w:tr>
      <w:tr>
        <w:tblPrEx>
          <w:tblLayout w:type="fixed"/>
          <w:tblCellMar>
            <w:top w:w="0" w:type="dxa"/>
            <w:left w:w="108" w:type="dxa"/>
            <w:bottom w:w="0" w:type="dxa"/>
            <w:right w:w="108" w:type="dxa"/>
          </w:tblCellMar>
        </w:tblPrEx>
        <w:trPr>
          <w:trHeight w:val="394" w:hRule="atLeast"/>
          <w:jc w:val="center"/>
        </w:trPr>
        <w:tc>
          <w:tcPr>
            <w:tcW w:w="9821" w:type="dxa"/>
            <w:tcBorders>
              <w:top w:val="nil"/>
              <w:left w:val="nil"/>
              <w:bottom w:val="nil"/>
              <w:right w:val="nil"/>
            </w:tcBorders>
            <w:shd w:val="clear" w:color="auto" w:fill="auto"/>
            <w:vAlign w:val="center"/>
          </w:tcPr>
          <w:p>
            <w:pPr>
              <w:widowControl/>
              <w:ind w:firstLine="480" w:firstLineChars="200"/>
              <w:jc w:val="left"/>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2.农林水支出增加主要是</w:t>
            </w:r>
            <w:r>
              <w:rPr>
                <w:rFonts w:hint="eastAsia" w:ascii="Times New Roman" w:hAnsi="Times New Roman" w:eastAsia="楷体_GB2312" w:cs="Times New Roman"/>
                <w:color w:val="000000"/>
                <w:kern w:val="0"/>
                <w:sz w:val="24"/>
                <w:szCs w:val="24"/>
              </w:rPr>
              <w:t>大中型水库库区基金上级补助支出增加。</w:t>
            </w:r>
          </w:p>
        </w:tc>
      </w:tr>
      <w:tr>
        <w:tblPrEx>
          <w:tblLayout w:type="fixed"/>
          <w:tblCellMar>
            <w:top w:w="0" w:type="dxa"/>
            <w:left w:w="108" w:type="dxa"/>
            <w:bottom w:w="0" w:type="dxa"/>
            <w:right w:w="108" w:type="dxa"/>
          </w:tblCellMar>
        </w:tblPrEx>
        <w:trPr>
          <w:trHeight w:val="394" w:hRule="atLeast"/>
          <w:jc w:val="center"/>
        </w:trPr>
        <w:tc>
          <w:tcPr>
            <w:tcW w:w="9821" w:type="dxa"/>
            <w:tcBorders>
              <w:top w:val="nil"/>
              <w:left w:val="nil"/>
              <w:bottom w:val="nil"/>
              <w:right w:val="nil"/>
            </w:tcBorders>
            <w:shd w:val="clear" w:color="auto" w:fill="auto"/>
            <w:vAlign w:val="center"/>
          </w:tcPr>
          <w:p>
            <w:pPr>
              <w:widowControl/>
              <w:ind w:firstLine="480" w:firstLineChars="200"/>
              <w:jc w:val="left"/>
              <w:rPr>
                <w:rFonts w:ascii="Times New Roman" w:hAnsi="Times New Roman" w:eastAsia="楷体_GB2312" w:cs="Times New Roman"/>
                <w:color w:val="000000"/>
                <w:kern w:val="0"/>
                <w:sz w:val="24"/>
                <w:szCs w:val="24"/>
              </w:rPr>
            </w:pPr>
            <w:r>
              <w:rPr>
                <w:rFonts w:ascii="Times New Roman" w:hAnsi="Times New Roman" w:eastAsia="楷体_GB2312" w:cs="Times New Roman"/>
                <w:color w:val="000000"/>
                <w:kern w:val="0"/>
                <w:sz w:val="24"/>
                <w:szCs w:val="24"/>
              </w:rPr>
              <w:t>3.其他支出增加主要是</w:t>
            </w:r>
            <w:r>
              <w:rPr>
                <w:rFonts w:hint="eastAsia" w:ascii="Times New Roman" w:hAnsi="Times New Roman" w:eastAsia="楷体_GB2312" w:cs="Times New Roman"/>
                <w:color w:val="000000"/>
                <w:kern w:val="0"/>
                <w:sz w:val="24"/>
                <w:szCs w:val="24"/>
              </w:rPr>
              <w:t>土地整治支出增加。</w:t>
            </w:r>
          </w:p>
        </w:tc>
      </w:tr>
    </w:tbl>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rPr>
          <w:rFonts w:ascii="Times New Roman" w:hAnsi="Times New Roman" w:eastAsia="楷体_GB2312" w:cs="Times New Roman"/>
          <w:color w:val="000000"/>
        </w:rPr>
      </w:pPr>
    </w:p>
    <w:p>
      <w:pPr>
        <w:jc w:val="center"/>
        <w:rPr>
          <w:rFonts w:ascii="Times New Roman" w:hAnsi="Times New Roman" w:eastAsia="方正小标宋简体" w:cs="Times New Roman"/>
          <w:color w:val="000000"/>
          <w:spacing w:val="-8"/>
          <w:w w:val="95"/>
          <w:kern w:val="0"/>
          <w:sz w:val="44"/>
          <w:szCs w:val="44"/>
        </w:rPr>
      </w:pPr>
      <w:r>
        <w:rPr>
          <w:rFonts w:ascii="Times New Roman" w:hAnsi="Times New Roman" w:eastAsia="方正小标宋简体" w:cs="Times New Roman"/>
          <w:color w:val="000000"/>
          <w:spacing w:val="-8"/>
          <w:w w:val="95"/>
          <w:kern w:val="0"/>
          <w:sz w:val="44"/>
          <w:szCs w:val="44"/>
        </w:rPr>
        <w:t>2020年1至6月国有资本经营预算收支执行情况表</w:t>
      </w:r>
    </w:p>
    <w:p>
      <w:pPr>
        <w:spacing w:after="156" w:afterLines="50" w:line="400" w:lineRule="exact"/>
        <w:rPr>
          <w:sz w:val="24"/>
          <w:szCs w:val="24"/>
        </w:rPr>
      </w:pPr>
      <w:r>
        <w:rPr>
          <w:rFonts w:hint="eastAsia" w:ascii="楷体_GB2312" w:hAnsi="宋体" w:eastAsia="楷体_GB2312" w:cs="宋体"/>
          <w:kern w:val="0"/>
          <w:sz w:val="24"/>
          <w:szCs w:val="24"/>
        </w:rPr>
        <w:t xml:space="preserve">表十九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93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368"/>
        <w:gridCol w:w="1113"/>
        <w:gridCol w:w="975"/>
        <w:gridCol w:w="1252"/>
        <w:gridCol w:w="1043"/>
        <w:gridCol w:w="1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77" w:hRule="atLeast"/>
          <w:jc w:val="center"/>
        </w:trPr>
        <w:tc>
          <w:tcPr>
            <w:tcW w:w="4368" w:type="dxa"/>
            <w:shd w:val="clear" w:color="auto" w:fill="auto"/>
            <w:noWrap/>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  目  名  称</w:t>
            </w:r>
          </w:p>
        </w:tc>
        <w:tc>
          <w:tcPr>
            <w:tcW w:w="1113"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1-6月份执行数</w:t>
            </w:r>
          </w:p>
        </w:tc>
        <w:tc>
          <w:tcPr>
            <w:tcW w:w="975"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2020年预算</w:t>
            </w:r>
          </w:p>
        </w:tc>
        <w:tc>
          <w:tcPr>
            <w:tcW w:w="1252"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完成</w:t>
            </w:r>
          </w:p>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预算数%</w:t>
            </w:r>
          </w:p>
        </w:tc>
        <w:tc>
          <w:tcPr>
            <w:tcW w:w="1043"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w:t>
            </w:r>
          </w:p>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同期</w:t>
            </w:r>
          </w:p>
          <w:p>
            <w:pPr>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实绩</w:t>
            </w:r>
          </w:p>
        </w:tc>
        <w:tc>
          <w:tcPr>
            <w:tcW w:w="1185"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比2019年±%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国有资本经营预算收入合计</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国有资本经营预算收入</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1.股利、股息收入</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2.清算收入</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国有资本经营预算支出合计</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（一）国有资本经营预算支出</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ind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1.解决历史遗留问题及改革成本支出</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ind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2.国有企业资本金注入</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ind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3.其他国有资本经营预算支出</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（二）转移性支出</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4" w:hRule="atLeast"/>
          <w:jc w:val="center"/>
        </w:trPr>
        <w:tc>
          <w:tcPr>
            <w:tcW w:w="4368" w:type="dxa"/>
            <w:shd w:val="clear" w:color="auto" w:fill="auto"/>
            <w:noWrap/>
            <w:vAlign w:val="center"/>
          </w:tcPr>
          <w:p>
            <w:pPr>
              <w:widowControl/>
              <w:ind w:firstLine="240" w:firstLineChars="1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国有资本经营预算调出资金</w:t>
            </w:r>
          </w:p>
        </w:tc>
        <w:tc>
          <w:tcPr>
            <w:tcW w:w="111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97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252"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43"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85"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rPr>
          <w:rFonts w:ascii="Times New Roman" w:hAnsi="Times New Roman" w:eastAsia="楷体_GB2312" w:cs="Times New Roman"/>
          <w:color w:val="000000"/>
        </w:rPr>
      </w:pPr>
      <w:r>
        <w:rPr>
          <w:rFonts w:ascii="Times New Roman" w:hAnsi="Times New Roman" w:eastAsia="楷体_GB2312" w:cs="Times New Roman"/>
          <w:color w:val="000000"/>
          <w:kern w:val="0"/>
          <w:sz w:val="22"/>
        </w:rPr>
        <w:t>注：国有资本经营预算收入中国有企业经营审计、股东会决议均于年度中期召开，收益均于下半年实现</w:t>
      </w:r>
    </w:p>
    <w:p>
      <w:pPr>
        <w:spacing w:line="240" w:lineRule="exact"/>
      </w:pPr>
    </w:p>
    <w:p>
      <w:pPr>
        <w:jc w:val="center"/>
        <w:rPr>
          <w:rFonts w:ascii="Times New Roman" w:hAnsi="Times New Roman" w:eastAsia="方正小标宋简体" w:cs="Times New Roman"/>
          <w:color w:val="000000"/>
          <w:spacing w:val="-8"/>
          <w:kern w:val="0"/>
          <w:sz w:val="44"/>
          <w:szCs w:val="44"/>
        </w:rPr>
      </w:pPr>
    </w:p>
    <w:p>
      <w:pPr>
        <w:jc w:val="center"/>
        <w:rPr>
          <w:rFonts w:ascii="Times New Roman" w:hAnsi="Times New Roman" w:eastAsia="方正小标宋简体" w:cs="Times New Roman"/>
          <w:color w:val="000000"/>
          <w:spacing w:val="-8"/>
          <w:kern w:val="0"/>
          <w:sz w:val="44"/>
          <w:szCs w:val="44"/>
        </w:rPr>
      </w:pPr>
    </w:p>
    <w:p>
      <w:pPr>
        <w:jc w:val="center"/>
        <w:rPr>
          <w:rFonts w:ascii="Times New Roman" w:hAnsi="Times New Roman" w:eastAsia="方正小标宋简体" w:cs="Times New Roman"/>
          <w:color w:val="000000"/>
          <w:spacing w:val="-8"/>
          <w:kern w:val="0"/>
          <w:sz w:val="44"/>
          <w:szCs w:val="44"/>
        </w:rPr>
      </w:pPr>
    </w:p>
    <w:p>
      <w:pPr>
        <w:jc w:val="center"/>
        <w:rPr>
          <w:rFonts w:ascii="Times New Roman" w:hAnsi="Times New Roman" w:eastAsia="方正小标宋简体" w:cs="Times New Roman"/>
          <w:color w:val="000000"/>
          <w:spacing w:val="-8"/>
          <w:kern w:val="0"/>
          <w:sz w:val="44"/>
          <w:szCs w:val="44"/>
        </w:rPr>
      </w:pPr>
    </w:p>
    <w:p>
      <w:pPr>
        <w:jc w:val="center"/>
        <w:rPr>
          <w:rFonts w:ascii="Times New Roman" w:hAnsi="Times New Roman" w:eastAsia="方正小标宋简体" w:cs="Times New Roman"/>
          <w:color w:val="000000"/>
          <w:spacing w:val="-8"/>
          <w:kern w:val="0"/>
          <w:sz w:val="44"/>
          <w:szCs w:val="44"/>
        </w:rPr>
      </w:pPr>
    </w:p>
    <w:p>
      <w:pPr>
        <w:jc w:val="center"/>
        <w:rPr>
          <w:rFonts w:ascii="Times New Roman" w:hAnsi="Times New Roman" w:eastAsia="方正小标宋简体" w:cs="Times New Roman"/>
          <w:color w:val="000000"/>
          <w:spacing w:val="-8"/>
          <w:kern w:val="0"/>
          <w:sz w:val="44"/>
          <w:szCs w:val="44"/>
        </w:rPr>
      </w:pPr>
      <w:r>
        <w:rPr>
          <w:rFonts w:ascii="Times New Roman" w:hAnsi="Times New Roman" w:eastAsia="方正小标宋简体" w:cs="Times New Roman"/>
          <w:color w:val="000000"/>
          <w:spacing w:val="-8"/>
          <w:kern w:val="0"/>
          <w:sz w:val="44"/>
          <w:szCs w:val="44"/>
        </w:rPr>
        <w:t>2020年1至6月社会保险基金预算收入执行情况</w:t>
      </w:r>
    </w:p>
    <w:p>
      <w:pPr>
        <w:spacing w:after="156" w:afterLines="50" w:line="400" w:lineRule="exact"/>
        <w:rPr>
          <w:rFonts w:ascii="楷体_GB2312" w:hAnsi="宋体" w:eastAsia="楷体_GB2312" w:cs="宋体"/>
          <w:kern w:val="0"/>
          <w:sz w:val="24"/>
          <w:szCs w:val="24"/>
        </w:rPr>
      </w:pPr>
      <w:r>
        <w:rPr>
          <w:rFonts w:hint="eastAsia" w:ascii="楷体_GB2312" w:hAnsi="宋体" w:eastAsia="楷体_GB2312" w:cs="宋体"/>
          <w:kern w:val="0"/>
          <w:sz w:val="24"/>
          <w:szCs w:val="24"/>
        </w:rPr>
        <w:t>表二十</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xml:space="preserve">  单位：万元</w:t>
      </w:r>
    </w:p>
    <w:tbl>
      <w:tblPr>
        <w:tblStyle w:val="10"/>
        <w:tblW w:w="955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098"/>
        <w:gridCol w:w="1035"/>
        <w:gridCol w:w="1034"/>
        <w:gridCol w:w="1034"/>
        <w:gridCol w:w="1230"/>
        <w:gridCol w:w="11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56" w:hRule="atLeast"/>
          <w:tblHeader/>
          <w:jc w:val="center"/>
        </w:trPr>
        <w:tc>
          <w:tcPr>
            <w:tcW w:w="4098"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     目</w:t>
            </w:r>
          </w:p>
        </w:tc>
        <w:tc>
          <w:tcPr>
            <w:tcW w:w="1035"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1-6月</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1034"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预算数</w:t>
            </w:r>
          </w:p>
        </w:tc>
        <w:tc>
          <w:tcPr>
            <w:tcW w:w="1034"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为预算</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w:t>
            </w:r>
          </w:p>
        </w:tc>
        <w:tc>
          <w:tcPr>
            <w:tcW w:w="1230"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w:t>
            </w:r>
          </w:p>
          <w:p>
            <w:pPr>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同期实绩</w:t>
            </w:r>
          </w:p>
        </w:tc>
        <w:tc>
          <w:tcPr>
            <w:tcW w:w="1120" w:type="dxa"/>
            <w:shd w:val="clear" w:color="auto" w:fill="auto"/>
            <w:vAlign w:val="center"/>
          </w:tcPr>
          <w:p>
            <w:pPr>
              <w:widowControl/>
              <w:jc w:val="center"/>
              <w:textAlignment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比2019年±%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社会保险基金收入合计</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192227</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443643</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43.33%</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246126</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74425</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224664</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130405</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77989</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130634</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79562</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1439</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3959</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1866</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上级补助收入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35524</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81439</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33190</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其他社会保险基金收入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1271</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2947</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1103</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（一）企业职工基本养老保险基金收入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100630</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223998</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44.92%</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116331</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42339</w:t>
            </w:r>
          </w:p>
        </w:tc>
        <w:tc>
          <w:tcPr>
            <w:tcW w:w="1034" w:type="dxa"/>
            <w:shd w:val="clear" w:color="auto" w:fill="auto"/>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117978</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66565</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21821</w:t>
            </w:r>
          </w:p>
        </w:tc>
        <w:tc>
          <w:tcPr>
            <w:tcW w:w="1034" w:type="dxa"/>
            <w:shd w:val="clear" w:color="auto" w:fill="auto"/>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20696</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14784</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47.6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736</w:t>
            </w:r>
          </w:p>
        </w:tc>
        <w:tc>
          <w:tcPr>
            <w:tcW w:w="1034" w:type="dxa"/>
            <w:shd w:val="clear" w:color="auto" w:fill="auto"/>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3490</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1572</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上级补助收入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35524</w:t>
            </w:r>
          </w:p>
        </w:tc>
        <w:tc>
          <w:tcPr>
            <w:tcW w:w="1034" w:type="dxa"/>
            <w:shd w:val="clear" w:color="auto" w:fill="auto"/>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81439</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33190</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其他基本养老保险基金收入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210</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w:t>
            </w:r>
          </w:p>
        </w:tc>
        <w:tc>
          <w:tcPr>
            <w:tcW w:w="1034"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（二）城乡居民基本养老保险基金收入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15612</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28904</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54.01%</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20345</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1034"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3245</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294</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15500</w:t>
            </w:r>
          </w:p>
        </w:tc>
        <w:tc>
          <w:tcPr>
            <w:tcW w:w="1034"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25042</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19868</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35"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34"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其他居民基本养老保险基金收入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78</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616</w:t>
            </w:r>
          </w:p>
        </w:tc>
        <w:tc>
          <w:tcPr>
            <w:tcW w:w="1034"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183</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-57.4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（三）机关事业单位基本养老保险基金收入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30688</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60803</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50.47%</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36723</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12187</w:t>
            </w:r>
          </w:p>
        </w:tc>
        <w:tc>
          <w:tcPr>
            <w:tcW w:w="1034"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23635</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13432</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18200</w:t>
            </w:r>
          </w:p>
        </w:tc>
        <w:tc>
          <w:tcPr>
            <w:tcW w:w="1034"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36833</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23055</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35"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275</w:t>
            </w:r>
          </w:p>
        </w:tc>
        <w:tc>
          <w:tcPr>
            <w:tcW w:w="1034"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w:t>
            </w:r>
          </w:p>
        </w:tc>
        <w:tc>
          <w:tcPr>
            <w:tcW w:w="1034" w:type="dxa"/>
            <w:shd w:val="clear" w:color="auto" w:fill="auto"/>
            <w:noWrap/>
            <w:vAlign w:val="center"/>
          </w:tcPr>
          <w:p>
            <w:pPr>
              <w:widowControl/>
              <w:spacing w:line="46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w:t>
            </w:r>
          </w:p>
        </w:tc>
        <w:tc>
          <w:tcPr>
            <w:tcW w:w="1120" w:type="dxa"/>
            <w:shd w:val="clear" w:color="auto" w:fill="auto"/>
            <w:noWrap/>
            <w:vAlign w:val="center"/>
          </w:tcPr>
          <w:p>
            <w:pPr>
              <w:widowControl/>
              <w:spacing w:line="46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36.1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其他基本养老保险基金收入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34"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（四）职工基本医疗保险基金收入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17800</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49040</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36.30%</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25985</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17169</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47957</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25591</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-32.9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417</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84</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396.4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其他基本医疗保险基金收入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214</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936</w:t>
            </w:r>
          </w:p>
        </w:tc>
        <w:tc>
          <w:tcPr>
            <w:tcW w:w="1034"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310</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（五）城乡居民基本医疗保险基金收入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20301</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69496</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29.21%</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43642</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485</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25159</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21506</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-97.7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19700</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44037</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21855</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其他居民基本医疗保险基金收入</w:t>
            </w:r>
          </w:p>
        </w:tc>
        <w:tc>
          <w:tcPr>
            <w:tcW w:w="1035"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w:t>
            </w:r>
          </w:p>
        </w:tc>
        <w:tc>
          <w:tcPr>
            <w:tcW w:w="1034"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034" w:type="dxa"/>
            <w:shd w:val="clear" w:color="auto" w:fill="auto"/>
            <w:noWrap/>
            <w:vAlign w:val="center"/>
          </w:tcPr>
          <w:p>
            <w:pPr>
              <w:widowControl/>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281</w:t>
            </w:r>
          </w:p>
        </w:tc>
        <w:tc>
          <w:tcPr>
            <w:tcW w:w="1120" w:type="dxa"/>
            <w:shd w:val="clear" w:color="auto" w:fill="auto"/>
            <w:noWrap/>
            <w:vAlign w:val="center"/>
          </w:tcPr>
          <w:p>
            <w:pPr>
              <w:widowControl/>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（六）工伤保险基金收入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4058</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6799</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59.69%</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1361</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198.2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734</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2990</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1351</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财政补贴收入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2768</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3289</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其他工伤保险基金收入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556</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520</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5460.0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（七）失业保险基金收入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3138</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4603</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68.17%</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1739</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80.4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其中：保险费收入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1477</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3700</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1666</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-11.3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各级财政补贴收入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1579</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737</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20"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jc w:val="center"/>
        </w:trPr>
        <w:tc>
          <w:tcPr>
            <w:tcW w:w="4098"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其他失业保险基金收入</w:t>
            </w:r>
          </w:p>
        </w:tc>
        <w:tc>
          <w:tcPr>
            <w:tcW w:w="1035"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034"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150</w:t>
            </w:r>
          </w:p>
        </w:tc>
        <w:tc>
          <w:tcPr>
            <w:tcW w:w="1034" w:type="dxa"/>
            <w:shd w:val="clear" w:color="auto" w:fill="auto"/>
            <w:noWrap/>
            <w:vAlign w:val="center"/>
          </w:tcPr>
          <w:p>
            <w:pPr>
              <w:widowControl/>
              <w:spacing w:line="42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23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120" w:type="dxa"/>
            <w:shd w:val="clear" w:color="auto" w:fill="auto"/>
            <w:noWrap/>
            <w:vAlign w:val="center"/>
          </w:tcPr>
          <w:p>
            <w:pPr>
              <w:widowControl/>
              <w:spacing w:line="420" w:lineRule="exact"/>
              <w:jc w:val="righ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9.2 </w:t>
            </w:r>
          </w:p>
        </w:tc>
      </w:tr>
    </w:tbl>
    <w:p>
      <w:pPr>
        <w:rPr>
          <w:rFonts w:ascii="Times New Roman" w:hAnsi="Times New Roman" w:eastAsia="楷体_GB2312" w:cs="Times New Roman"/>
        </w:rPr>
      </w:pPr>
    </w:p>
    <w:tbl>
      <w:tblPr>
        <w:tblStyle w:val="10"/>
        <w:tblW w:w="9551" w:type="dxa"/>
        <w:jc w:val="center"/>
        <w:tblInd w:w="0" w:type="dxa"/>
        <w:tblLayout w:type="fixed"/>
        <w:tblCellMar>
          <w:top w:w="0" w:type="dxa"/>
          <w:left w:w="108" w:type="dxa"/>
          <w:bottom w:w="0" w:type="dxa"/>
          <w:right w:w="108" w:type="dxa"/>
        </w:tblCellMar>
      </w:tblPr>
      <w:tblGrid>
        <w:gridCol w:w="8431"/>
        <w:gridCol w:w="1120"/>
      </w:tblGrid>
      <w:tr>
        <w:tblPrEx>
          <w:tblLayout w:type="fixed"/>
          <w:tblCellMar>
            <w:top w:w="0" w:type="dxa"/>
            <w:left w:w="108" w:type="dxa"/>
            <w:bottom w:w="0" w:type="dxa"/>
            <w:right w:w="108" w:type="dxa"/>
          </w:tblCellMar>
        </w:tblPrEx>
        <w:trPr>
          <w:trHeight w:val="285" w:hRule="atLeast"/>
          <w:jc w:val="center"/>
        </w:trPr>
        <w:tc>
          <w:tcPr>
            <w:tcW w:w="8431" w:type="dxa"/>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备注：</w:t>
            </w:r>
          </w:p>
        </w:tc>
        <w:tc>
          <w:tcPr>
            <w:tcW w:w="1120" w:type="dxa"/>
            <w:tcBorders>
              <w:top w:val="nil"/>
              <w:left w:val="nil"/>
              <w:bottom w:val="nil"/>
              <w:right w:val="nil"/>
            </w:tcBorders>
            <w:shd w:val="clear" w:color="auto" w:fill="auto"/>
            <w:noWrap/>
            <w:vAlign w:val="center"/>
          </w:tcPr>
          <w:p>
            <w:pPr>
              <w:widowControl/>
              <w:rPr>
                <w:rFonts w:ascii="Times New Roman" w:hAnsi="Times New Roman" w:eastAsia="楷体_GB2312" w:cs="Times New Roman"/>
                <w:color w:val="000000"/>
                <w:kern w:val="0"/>
                <w:sz w:val="22"/>
              </w:rPr>
            </w:pPr>
          </w:p>
        </w:tc>
      </w:tr>
      <w:tr>
        <w:tblPrEx>
          <w:tblLayout w:type="fixed"/>
          <w:tblCellMar>
            <w:top w:w="0" w:type="dxa"/>
            <w:left w:w="108" w:type="dxa"/>
            <w:bottom w:w="0" w:type="dxa"/>
            <w:right w:w="108" w:type="dxa"/>
          </w:tblCellMar>
        </w:tblPrEx>
        <w:trPr>
          <w:trHeight w:val="285" w:hRule="atLeast"/>
          <w:jc w:val="center"/>
        </w:trPr>
        <w:tc>
          <w:tcPr>
            <w:tcW w:w="9551" w:type="dxa"/>
            <w:gridSpan w:val="2"/>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1.企业职工基本养老保险基金收入减少主要是受疫情影响执行减免企业社会保险费政策</w:t>
            </w:r>
            <w:r>
              <w:rPr>
                <w:rFonts w:hint="eastAsia"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285" w:hRule="atLeast"/>
          <w:jc w:val="center"/>
        </w:trPr>
        <w:tc>
          <w:tcPr>
            <w:tcW w:w="9551" w:type="dxa"/>
            <w:gridSpan w:val="2"/>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2.城乡居民基本养老保险基金收入减少主要是财政补贴收入按月到位（保费下降主要是缴费人数减少）</w:t>
            </w:r>
            <w:r>
              <w:rPr>
                <w:rFonts w:hint="eastAsia"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285" w:hRule="atLeast"/>
          <w:jc w:val="center"/>
        </w:trPr>
        <w:tc>
          <w:tcPr>
            <w:tcW w:w="9551" w:type="dxa"/>
            <w:gridSpan w:val="2"/>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3.机关事业单位基本养老保险基金收入减少主要是单位缴费比例下降和财政补贴收入按月到位</w:t>
            </w:r>
            <w:r>
              <w:rPr>
                <w:rFonts w:hint="eastAsia"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285" w:hRule="atLeast"/>
          <w:jc w:val="center"/>
        </w:trPr>
        <w:tc>
          <w:tcPr>
            <w:tcW w:w="9551" w:type="dxa"/>
            <w:gridSpan w:val="2"/>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4.职工基本医疗保险基金收入减少主要是受疫情影响执行减免企业社会保险费政策</w:t>
            </w:r>
            <w:r>
              <w:rPr>
                <w:rFonts w:hint="eastAsia"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285" w:hRule="atLeast"/>
          <w:jc w:val="center"/>
        </w:trPr>
        <w:tc>
          <w:tcPr>
            <w:tcW w:w="9551" w:type="dxa"/>
            <w:gridSpan w:val="2"/>
            <w:tcBorders>
              <w:top w:val="nil"/>
              <w:left w:val="nil"/>
              <w:bottom w:val="nil"/>
              <w:right w:val="nil"/>
            </w:tcBorders>
            <w:shd w:val="clear" w:color="auto" w:fill="auto"/>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5.城乡居民基本医疗保险基金收入减少主要是</w:t>
            </w:r>
            <w:r>
              <w:rPr>
                <w:rFonts w:hint="eastAsia" w:ascii="Times New Roman" w:hAnsi="Times New Roman" w:eastAsia="楷体_GB2312" w:cs="Times New Roman"/>
                <w:color w:val="000000"/>
                <w:kern w:val="0"/>
                <w:sz w:val="22"/>
              </w:rPr>
              <w:t>根据规定</w:t>
            </w:r>
            <w:r>
              <w:rPr>
                <w:rFonts w:ascii="Times New Roman" w:hAnsi="Times New Roman" w:eastAsia="楷体_GB2312" w:cs="Times New Roman"/>
                <w:color w:val="000000"/>
                <w:kern w:val="0"/>
                <w:sz w:val="22"/>
              </w:rPr>
              <w:t>2020年城乡居民基本医疗保险个人缴费改由税务征收后计入2019年收入</w:t>
            </w:r>
            <w:r>
              <w:rPr>
                <w:rFonts w:hint="eastAsia"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285" w:hRule="atLeast"/>
          <w:jc w:val="center"/>
        </w:trPr>
        <w:tc>
          <w:tcPr>
            <w:tcW w:w="9551" w:type="dxa"/>
            <w:gridSpan w:val="2"/>
            <w:tcBorders>
              <w:top w:val="nil"/>
              <w:left w:val="nil"/>
              <w:bottom w:val="nil"/>
              <w:right w:val="nil"/>
            </w:tcBorders>
            <w:shd w:val="clear" w:color="auto" w:fill="auto"/>
            <w:noWrap/>
            <w:vAlign w:val="center"/>
          </w:tcPr>
          <w:p>
            <w:pPr>
              <w:widowControl/>
              <w:ind w:firstLine="440" w:firstLineChars="20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6.工伤保险基金收入增加主要是财政补贴收入增加（保费</w:t>
            </w:r>
            <w:r>
              <w:rPr>
                <w:rFonts w:hint="eastAsia" w:ascii="Times New Roman" w:hAnsi="Times New Roman" w:eastAsia="楷体_GB2312" w:cs="Times New Roman"/>
                <w:color w:val="000000"/>
                <w:kern w:val="0"/>
                <w:sz w:val="22"/>
              </w:rPr>
              <w:t>收入</w:t>
            </w:r>
            <w:r>
              <w:rPr>
                <w:rFonts w:ascii="Times New Roman" w:hAnsi="Times New Roman" w:eastAsia="楷体_GB2312" w:cs="Times New Roman"/>
                <w:color w:val="000000"/>
                <w:kern w:val="0"/>
                <w:sz w:val="22"/>
              </w:rPr>
              <w:t>下降主要是执行减免企业社会保险费政策）</w:t>
            </w:r>
            <w:r>
              <w:rPr>
                <w:rFonts w:hint="eastAsia" w:ascii="Times New Roman" w:hAnsi="Times New Roman" w:eastAsia="楷体_GB2312" w:cs="Times New Roman"/>
                <w:color w:val="000000"/>
                <w:kern w:val="0"/>
                <w:sz w:val="22"/>
              </w:rPr>
              <w:t>。</w:t>
            </w:r>
          </w:p>
        </w:tc>
      </w:tr>
      <w:tr>
        <w:tblPrEx>
          <w:tblLayout w:type="fixed"/>
          <w:tblCellMar>
            <w:top w:w="0" w:type="dxa"/>
            <w:left w:w="108" w:type="dxa"/>
            <w:bottom w:w="0" w:type="dxa"/>
            <w:right w:w="108" w:type="dxa"/>
          </w:tblCellMar>
        </w:tblPrEx>
        <w:trPr>
          <w:trHeight w:val="285" w:hRule="atLeast"/>
          <w:jc w:val="center"/>
        </w:trPr>
        <w:tc>
          <w:tcPr>
            <w:tcW w:w="9551" w:type="dxa"/>
            <w:gridSpan w:val="2"/>
            <w:tcBorders>
              <w:top w:val="nil"/>
              <w:left w:val="nil"/>
              <w:bottom w:val="nil"/>
              <w:right w:val="nil"/>
            </w:tcBorders>
            <w:shd w:val="clear" w:color="auto" w:fill="auto"/>
            <w:vAlign w:val="center"/>
          </w:tcPr>
          <w:p>
            <w:pPr>
              <w:widowControl/>
              <w:ind w:firstLine="330" w:firstLineChars="150"/>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7.失业保险基金收入增加主要是省失业保险调剂金补贴收入增加（保费下降主要是执行减免企业社会保险费政策）</w:t>
            </w:r>
            <w:r>
              <w:rPr>
                <w:rFonts w:hint="eastAsia" w:ascii="Times New Roman" w:hAnsi="Times New Roman" w:eastAsia="楷体_GB2312" w:cs="Times New Roman"/>
                <w:color w:val="000000"/>
                <w:kern w:val="0"/>
                <w:sz w:val="22"/>
              </w:rPr>
              <w:t>。</w:t>
            </w:r>
          </w:p>
        </w:tc>
      </w:tr>
    </w:tbl>
    <w:p>
      <w:pPr>
        <w:rPr>
          <w:rFonts w:ascii="Times New Roman" w:hAnsi="Times New Roman" w:eastAsia="楷体_GB2312" w:cs="Times New Roman"/>
          <w:color w:val="000000"/>
          <w:kern w:val="0"/>
          <w:sz w:val="22"/>
        </w:rPr>
      </w:pPr>
    </w:p>
    <w:p>
      <w:pPr>
        <w:jc w:val="center"/>
        <w:rPr>
          <w:rFonts w:ascii="Times New Roman" w:hAnsi="Times New Roman" w:eastAsia="方正小标宋简体" w:cs="Times New Roman"/>
          <w:color w:val="000000"/>
          <w:spacing w:val="-8"/>
          <w:kern w:val="0"/>
          <w:sz w:val="44"/>
          <w:szCs w:val="44"/>
        </w:rPr>
      </w:pPr>
      <w:r>
        <w:rPr>
          <w:rFonts w:ascii="Times New Roman" w:hAnsi="Times New Roman" w:eastAsia="方正小标宋简体" w:cs="Times New Roman"/>
          <w:color w:val="000000"/>
          <w:spacing w:val="-8"/>
          <w:kern w:val="0"/>
          <w:sz w:val="44"/>
          <w:szCs w:val="44"/>
        </w:rPr>
        <w:t>2020年1至6月社会保险基金预算支出执行情况</w:t>
      </w:r>
    </w:p>
    <w:p>
      <w:pPr>
        <w:spacing w:after="156" w:afterLines="50" w:line="400" w:lineRule="exact"/>
        <w:rPr>
          <w:sz w:val="24"/>
          <w:szCs w:val="24"/>
        </w:rPr>
      </w:pPr>
      <w:r>
        <w:rPr>
          <w:rFonts w:hint="eastAsia" w:ascii="楷体_GB2312" w:hAnsi="宋体" w:eastAsia="楷体_GB2312" w:cs="宋体"/>
          <w:kern w:val="0"/>
          <w:sz w:val="24"/>
          <w:szCs w:val="24"/>
        </w:rPr>
        <w:t xml:space="preserve">表二十一 </w:t>
      </w:r>
      <w:r>
        <w:rPr>
          <w:rFonts w:ascii="楷体_GB2312" w:hAnsi="宋体" w:eastAsia="楷体_GB2312" w:cs="宋体"/>
          <w:kern w:val="0"/>
          <w:sz w:val="24"/>
          <w:szCs w:val="24"/>
        </w:rPr>
        <w:t xml:space="preserve">                      </w:t>
      </w:r>
      <w:r>
        <w:rPr>
          <w:rFonts w:hint="eastAsia" w:ascii="楷体_GB2312" w:hAnsi="宋体" w:eastAsia="楷体_GB2312" w:cs="宋体"/>
          <w:kern w:val="0"/>
          <w:sz w:val="24"/>
          <w:szCs w:val="24"/>
        </w:rPr>
        <w:t>　</w:t>
      </w:r>
      <w:r>
        <w:rPr>
          <w:rFonts w:ascii="楷体_GB2312" w:hAnsi="宋体" w:eastAsia="楷体_GB2312" w:cs="宋体"/>
          <w:kern w:val="0"/>
          <w:sz w:val="24"/>
          <w:szCs w:val="24"/>
        </w:rPr>
        <w:t xml:space="preserve">　　　　　　　　　               </w:t>
      </w:r>
      <w:r>
        <w:rPr>
          <w:rFonts w:hint="eastAsia" w:ascii="楷体_GB2312" w:hAnsi="宋体" w:eastAsia="楷体_GB2312" w:cs="Times New Roman"/>
          <w:kern w:val="0"/>
          <w:sz w:val="24"/>
          <w:szCs w:val="24"/>
        </w:rPr>
        <w:t>单位：万元</w:t>
      </w:r>
    </w:p>
    <w:tbl>
      <w:tblPr>
        <w:tblStyle w:val="10"/>
        <w:tblW w:w="964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4145"/>
        <w:gridCol w:w="1080"/>
        <w:gridCol w:w="1080"/>
        <w:gridCol w:w="1080"/>
        <w:gridCol w:w="1080"/>
        <w:gridCol w:w="117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936" w:hRule="atLeast"/>
          <w:tblHeader/>
          <w:jc w:val="center"/>
        </w:trPr>
        <w:tc>
          <w:tcPr>
            <w:tcW w:w="4145"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项       目</w:t>
            </w:r>
          </w:p>
        </w:tc>
        <w:tc>
          <w:tcPr>
            <w:tcW w:w="1080"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1-6月</w:t>
            </w:r>
          </w:p>
          <w:p>
            <w:pPr>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执行数</w:t>
            </w:r>
          </w:p>
        </w:tc>
        <w:tc>
          <w:tcPr>
            <w:tcW w:w="1080"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2020年</w:t>
            </w:r>
          </w:p>
          <w:p>
            <w:pPr>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预算数</w:t>
            </w:r>
          </w:p>
        </w:tc>
        <w:tc>
          <w:tcPr>
            <w:tcW w:w="1080"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为预算%</w:t>
            </w:r>
          </w:p>
        </w:tc>
        <w:tc>
          <w:tcPr>
            <w:tcW w:w="1080"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2019年</w:t>
            </w:r>
          </w:p>
          <w:p>
            <w:pPr>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同期实绩</w:t>
            </w:r>
          </w:p>
        </w:tc>
        <w:tc>
          <w:tcPr>
            <w:tcW w:w="1179" w:type="dxa"/>
            <w:shd w:val="clear" w:color="auto" w:fill="auto"/>
            <w:vAlign w:val="center"/>
          </w:tcPr>
          <w:p>
            <w:pPr>
              <w:widowControl/>
              <w:jc w:val="center"/>
              <w:rPr>
                <w:rFonts w:ascii="黑体" w:hAnsi="黑体" w:eastAsia="黑体" w:cs="Times New Roman"/>
                <w:color w:val="000000"/>
                <w:kern w:val="0"/>
                <w:sz w:val="24"/>
                <w:szCs w:val="24"/>
              </w:rPr>
            </w:pPr>
            <w:r>
              <w:rPr>
                <w:rFonts w:ascii="黑体" w:hAnsi="黑体" w:eastAsia="黑体" w:cs="Times New Roman"/>
                <w:color w:val="000000"/>
                <w:kern w:val="0"/>
                <w:sz w:val="24"/>
                <w:szCs w:val="24"/>
              </w:rPr>
              <w:t>比2019年±%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一、本级社会保险基金支出合计</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220223</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474148</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46.45%</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191283</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其中：社会保险待遇支出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217459</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467771</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188521</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15.4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859</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2320</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1252</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-31.4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上解上级支出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1905</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4057</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1510</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（一）企业职工基本养老保险基金支出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116675</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258991</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45.05%</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105538</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其中：基本养老金支出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112844</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251076</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101948</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丧葬抚恤补助支出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1042</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1732</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909</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766</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1931</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1067</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-28.2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上解上级支出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1905</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4057</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1510</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其他基本养老保险基金支出</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118</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w:t>
            </w:r>
          </w:p>
        </w:tc>
        <w:tc>
          <w:tcPr>
            <w:tcW w:w="108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w:t>
            </w:r>
          </w:p>
        </w:tc>
        <w:tc>
          <w:tcPr>
            <w:tcW w:w="117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13.5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（二）城乡居民基本养老保险基金支出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12946</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26496</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48.86%</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12963</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其中：保险待遇支出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12926</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26196</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12821</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0.8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142</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-88.0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其他居民基本养老保险基金支出</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9"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（三）机关事业单位基本养老保险基金支出</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28712</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60803</w:t>
            </w:r>
          </w:p>
        </w:tc>
        <w:tc>
          <w:tcPr>
            <w:tcW w:w="108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47.22%</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26461</w:t>
            </w:r>
          </w:p>
        </w:tc>
        <w:tc>
          <w:tcPr>
            <w:tcW w:w="117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其中：基本养老金支出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28636</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60714</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26418</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丧葬抚恤补助支出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179"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转移支出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76</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76.7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（四）职工基本医疗保险基金支出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24468</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45422</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53.87%</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17845</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37.1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其中：职工基本医疗保险统筹基金</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12407</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29083</w:t>
            </w:r>
          </w:p>
        </w:tc>
        <w:tc>
          <w:tcPr>
            <w:tcW w:w="108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10834</w:t>
            </w:r>
          </w:p>
        </w:tc>
        <w:tc>
          <w:tcPr>
            <w:tcW w:w="117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14.5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职工基本医疗保险个人账户基金</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12061</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16339</w:t>
            </w:r>
          </w:p>
        </w:tc>
        <w:tc>
          <w:tcPr>
            <w:tcW w:w="108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7011</w:t>
            </w:r>
          </w:p>
        </w:tc>
        <w:tc>
          <w:tcPr>
            <w:tcW w:w="117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72.0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（五）城乡居民基本医疗保险基金支出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28800</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72819</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39.55%</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19733</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其中：基本医疗保险待遇支出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27640</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70472</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19563</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41.3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其他居民基本医疗保险基金支出</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1160</w:t>
            </w:r>
          </w:p>
        </w:tc>
        <w:tc>
          <w:tcPr>
            <w:tcW w:w="1080" w:type="dxa"/>
            <w:shd w:val="clear" w:color="auto" w:fill="auto"/>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2347</w:t>
            </w:r>
          </w:p>
        </w:tc>
        <w:tc>
          <w:tcPr>
            <w:tcW w:w="1080" w:type="dxa"/>
            <w:shd w:val="clear" w:color="auto" w:fill="auto"/>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170</w:t>
            </w:r>
          </w:p>
        </w:tc>
        <w:tc>
          <w:tcPr>
            <w:tcW w:w="1179" w:type="dxa"/>
            <w:shd w:val="clear" w:color="auto" w:fill="auto"/>
            <w:noWrap/>
            <w:vAlign w:val="center"/>
          </w:tcPr>
          <w:p>
            <w:pPr>
              <w:widowControl/>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582.4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（六）工伤保险基金支出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1449</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7117</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20.36%</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1751</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其中：工伤保险待遇支出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1449</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7117</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1751</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（七）失业保险基金支出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7173</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286.92%</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6992</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285" w:hRule="atLeast"/>
          <w:jc w:val="center"/>
        </w:trPr>
        <w:tc>
          <w:tcPr>
            <w:tcW w:w="4145" w:type="dxa"/>
            <w:shd w:val="clear" w:color="auto" w:fill="auto"/>
            <w:noWrap/>
            <w:vAlign w:val="center"/>
          </w:tcPr>
          <w:p>
            <w:pPr>
              <w:widowControl/>
              <w:spacing w:line="460" w:lineRule="exac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其中：失业保险基金支出</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7173</w:t>
            </w:r>
          </w:p>
        </w:tc>
        <w:tc>
          <w:tcPr>
            <w:tcW w:w="1080" w:type="dxa"/>
            <w:shd w:val="clear" w:color="auto" w:fill="auto"/>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2500</w:t>
            </w:r>
          </w:p>
        </w:tc>
        <w:tc>
          <w:tcPr>
            <w:tcW w:w="1080" w:type="dxa"/>
            <w:shd w:val="clear" w:color="auto" w:fill="auto"/>
            <w:noWrap/>
            <w:vAlign w:val="center"/>
          </w:tcPr>
          <w:p>
            <w:pPr>
              <w:widowControl/>
              <w:spacing w:line="460" w:lineRule="exac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1080"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6992</w:t>
            </w:r>
          </w:p>
        </w:tc>
        <w:tc>
          <w:tcPr>
            <w:tcW w:w="1179" w:type="dxa"/>
            <w:shd w:val="clear" w:color="auto" w:fill="auto"/>
            <w:noWrap/>
            <w:vAlign w:val="center"/>
          </w:tcPr>
          <w:p>
            <w:pPr>
              <w:widowControl/>
              <w:spacing w:line="460" w:lineRule="exact"/>
              <w:jc w:val="righ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 </w:t>
            </w:r>
          </w:p>
        </w:tc>
      </w:tr>
    </w:tbl>
    <w:p>
      <w:pPr>
        <w:rPr>
          <w:rFonts w:ascii="Times New Roman" w:hAnsi="Times New Roman" w:eastAsia="楷体_GB2312" w:cs="Times New Roman"/>
        </w:rPr>
      </w:pPr>
    </w:p>
    <w:tbl>
      <w:tblPr>
        <w:tblStyle w:val="10"/>
        <w:tblW w:w="9526" w:type="dxa"/>
        <w:jc w:val="center"/>
        <w:tblInd w:w="0" w:type="dxa"/>
        <w:tblLayout w:type="fixed"/>
        <w:tblCellMar>
          <w:top w:w="0" w:type="dxa"/>
          <w:left w:w="28" w:type="dxa"/>
          <w:bottom w:w="0" w:type="dxa"/>
          <w:right w:w="28" w:type="dxa"/>
        </w:tblCellMar>
      </w:tblPr>
      <w:tblGrid>
        <w:gridCol w:w="6305"/>
        <w:gridCol w:w="1080"/>
        <w:gridCol w:w="1080"/>
        <w:gridCol w:w="1061"/>
      </w:tblGrid>
      <w:tr>
        <w:tblPrEx>
          <w:tblLayout w:type="fixed"/>
          <w:tblCellMar>
            <w:top w:w="0" w:type="dxa"/>
            <w:left w:w="28" w:type="dxa"/>
            <w:bottom w:w="0" w:type="dxa"/>
            <w:right w:w="28" w:type="dxa"/>
          </w:tblCellMar>
        </w:tblPrEx>
        <w:trPr>
          <w:trHeight w:val="364" w:hRule="atLeast"/>
          <w:jc w:val="center"/>
        </w:trPr>
        <w:tc>
          <w:tcPr>
            <w:tcW w:w="6305"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备注：</w:t>
            </w:r>
          </w:p>
        </w:tc>
        <w:tc>
          <w:tcPr>
            <w:tcW w:w="1080"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2"/>
              </w:rPr>
            </w:pPr>
          </w:p>
        </w:tc>
        <w:tc>
          <w:tcPr>
            <w:tcW w:w="1080"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0"/>
                <w:szCs w:val="20"/>
              </w:rPr>
            </w:pPr>
          </w:p>
        </w:tc>
        <w:tc>
          <w:tcPr>
            <w:tcW w:w="1061" w:type="dxa"/>
            <w:tcBorders>
              <w:top w:val="nil"/>
              <w:left w:val="nil"/>
              <w:bottom w:val="nil"/>
              <w:right w:val="nil"/>
            </w:tcBorders>
            <w:shd w:val="clear" w:color="auto" w:fill="auto"/>
            <w:noWrap/>
            <w:vAlign w:val="center"/>
          </w:tcPr>
          <w:p>
            <w:pPr>
              <w:widowControl/>
              <w:jc w:val="left"/>
              <w:rPr>
                <w:rFonts w:ascii="Times New Roman" w:hAnsi="Times New Roman" w:eastAsia="楷体_GB2312" w:cs="Times New Roman"/>
                <w:color w:val="000000"/>
                <w:kern w:val="0"/>
                <w:sz w:val="20"/>
                <w:szCs w:val="20"/>
              </w:rPr>
            </w:pPr>
          </w:p>
        </w:tc>
      </w:tr>
      <w:tr>
        <w:tblPrEx>
          <w:tblLayout w:type="fixed"/>
          <w:tblCellMar>
            <w:top w:w="0" w:type="dxa"/>
            <w:left w:w="28" w:type="dxa"/>
            <w:bottom w:w="0" w:type="dxa"/>
            <w:right w:w="28" w:type="dxa"/>
          </w:tblCellMar>
        </w:tblPrEx>
        <w:trPr>
          <w:trHeight w:val="364" w:hRule="atLeast"/>
          <w:jc w:val="center"/>
        </w:trPr>
        <w:tc>
          <w:tcPr>
            <w:tcW w:w="9526" w:type="dxa"/>
            <w:gridSpan w:val="4"/>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1.企业职工基本养老保险基金支出增加主要是退休待遇</w:t>
            </w:r>
            <w:r>
              <w:rPr>
                <w:rFonts w:hint="eastAsia" w:ascii="Times New Roman" w:hAnsi="Times New Roman" w:eastAsia="楷体_GB2312" w:cs="Times New Roman"/>
                <w:color w:val="000000"/>
                <w:kern w:val="0"/>
                <w:sz w:val="22"/>
              </w:rPr>
              <w:t>标准</w:t>
            </w:r>
            <w:r>
              <w:rPr>
                <w:rFonts w:ascii="Times New Roman" w:hAnsi="Times New Roman" w:eastAsia="楷体_GB2312" w:cs="Times New Roman"/>
                <w:color w:val="000000"/>
                <w:kern w:val="0"/>
                <w:sz w:val="22"/>
              </w:rPr>
              <w:t>调高及退休人员增加</w:t>
            </w:r>
            <w:r>
              <w:rPr>
                <w:rFonts w:hint="eastAsia" w:ascii="Times New Roman" w:hAnsi="Times New Roman" w:eastAsia="楷体_GB2312" w:cs="Times New Roman"/>
                <w:color w:val="000000"/>
                <w:kern w:val="0"/>
                <w:sz w:val="22"/>
              </w:rPr>
              <w:t>。</w:t>
            </w:r>
          </w:p>
        </w:tc>
      </w:tr>
      <w:tr>
        <w:tblPrEx>
          <w:tblLayout w:type="fixed"/>
          <w:tblCellMar>
            <w:top w:w="0" w:type="dxa"/>
            <w:left w:w="28" w:type="dxa"/>
            <w:bottom w:w="0" w:type="dxa"/>
            <w:right w:w="28" w:type="dxa"/>
          </w:tblCellMar>
        </w:tblPrEx>
        <w:trPr>
          <w:trHeight w:val="364" w:hRule="atLeast"/>
          <w:jc w:val="center"/>
        </w:trPr>
        <w:tc>
          <w:tcPr>
            <w:tcW w:w="9526" w:type="dxa"/>
            <w:gridSpan w:val="4"/>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2.城乡居民基本养老保险基金支出减少主要是2019年同期有补发高龄补贴和丧葬费</w:t>
            </w:r>
            <w:r>
              <w:rPr>
                <w:rFonts w:hint="eastAsia" w:ascii="Times New Roman" w:hAnsi="Times New Roman" w:eastAsia="楷体_GB2312" w:cs="Times New Roman"/>
                <w:color w:val="000000"/>
                <w:kern w:val="0"/>
                <w:sz w:val="22"/>
              </w:rPr>
              <w:t>。</w:t>
            </w:r>
          </w:p>
        </w:tc>
      </w:tr>
      <w:tr>
        <w:tblPrEx>
          <w:tblLayout w:type="fixed"/>
          <w:tblCellMar>
            <w:top w:w="0" w:type="dxa"/>
            <w:left w:w="28" w:type="dxa"/>
            <w:bottom w:w="0" w:type="dxa"/>
            <w:right w:w="28" w:type="dxa"/>
          </w:tblCellMar>
        </w:tblPrEx>
        <w:trPr>
          <w:trHeight w:val="364" w:hRule="atLeast"/>
          <w:jc w:val="center"/>
        </w:trPr>
        <w:tc>
          <w:tcPr>
            <w:tcW w:w="9526" w:type="dxa"/>
            <w:gridSpan w:val="4"/>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3.职工基本医疗保险基金支出增加主要是结算2019年下半年异地平台费用</w:t>
            </w:r>
            <w:r>
              <w:rPr>
                <w:rFonts w:hint="eastAsia" w:ascii="Times New Roman" w:hAnsi="Times New Roman" w:eastAsia="楷体_GB2312" w:cs="Times New Roman"/>
                <w:color w:val="000000"/>
                <w:kern w:val="0"/>
                <w:sz w:val="22"/>
              </w:rPr>
              <w:t>。</w:t>
            </w:r>
          </w:p>
        </w:tc>
      </w:tr>
      <w:tr>
        <w:tblPrEx>
          <w:tblLayout w:type="fixed"/>
          <w:tblCellMar>
            <w:top w:w="0" w:type="dxa"/>
            <w:left w:w="28" w:type="dxa"/>
            <w:bottom w:w="0" w:type="dxa"/>
            <w:right w:w="28" w:type="dxa"/>
          </w:tblCellMar>
        </w:tblPrEx>
        <w:trPr>
          <w:trHeight w:val="364" w:hRule="atLeast"/>
          <w:jc w:val="center"/>
        </w:trPr>
        <w:tc>
          <w:tcPr>
            <w:tcW w:w="9526" w:type="dxa"/>
            <w:gridSpan w:val="4"/>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4.城乡居民基本医疗保险基金支出增加主要是上划金华大病保险基本保费和学生选缴保费</w:t>
            </w:r>
            <w:r>
              <w:rPr>
                <w:rFonts w:hint="eastAsia" w:ascii="Times New Roman" w:hAnsi="Times New Roman" w:eastAsia="楷体_GB2312" w:cs="Times New Roman"/>
                <w:color w:val="000000"/>
                <w:kern w:val="0"/>
                <w:sz w:val="22"/>
              </w:rPr>
              <w:t>。</w:t>
            </w:r>
          </w:p>
        </w:tc>
      </w:tr>
      <w:tr>
        <w:tblPrEx>
          <w:tblLayout w:type="fixed"/>
          <w:tblCellMar>
            <w:top w:w="0" w:type="dxa"/>
            <w:left w:w="28" w:type="dxa"/>
            <w:bottom w:w="0" w:type="dxa"/>
            <w:right w:w="28" w:type="dxa"/>
          </w:tblCellMar>
        </w:tblPrEx>
        <w:trPr>
          <w:trHeight w:val="364" w:hRule="atLeast"/>
          <w:jc w:val="center"/>
        </w:trPr>
        <w:tc>
          <w:tcPr>
            <w:tcW w:w="9526" w:type="dxa"/>
            <w:gridSpan w:val="4"/>
            <w:tcBorders>
              <w:top w:val="nil"/>
              <w:left w:val="nil"/>
              <w:bottom w:val="nil"/>
              <w:right w:val="nil"/>
            </w:tcBorders>
            <w:shd w:val="clear" w:color="auto" w:fill="auto"/>
            <w:noWrap/>
            <w:vAlign w:val="center"/>
          </w:tcPr>
          <w:p>
            <w:pPr>
              <w:widowControl/>
              <w:ind w:firstLine="440" w:firstLineChars="200"/>
              <w:jc w:val="left"/>
              <w:rPr>
                <w:rFonts w:ascii="Times New Roman" w:hAnsi="Times New Roman" w:eastAsia="楷体_GB2312" w:cs="Times New Roman"/>
                <w:color w:val="000000"/>
                <w:kern w:val="0"/>
                <w:sz w:val="22"/>
              </w:rPr>
            </w:pPr>
            <w:r>
              <w:rPr>
                <w:rFonts w:ascii="Times New Roman" w:hAnsi="Times New Roman" w:eastAsia="楷体_GB2312" w:cs="Times New Roman"/>
                <w:color w:val="000000"/>
                <w:kern w:val="0"/>
                <w:sz w:val="22"/>
              </w:rPr>
              <w:t>5.工伤保险基金支出</w:t>
            </w:r>
            <w:r>
              <w:rPr>
                <w:rFonts w:hint="eastAsia" w:ascii="Times New Roman" w:hAnsi="Times New Roman" w:eastAsia="楷体_GB2312" w:cs="Times New Roman"/>
                <w:color w:val="000000"/>
                <w:kern w:val="0"/>
                <w:sz w:val="22"/>
              </w:rPr>
              <w:t>减少</w:t>
            </w:r>
            <w:r>
              <w:rPr>
                <w:rFonts w:ascii="Times New Roman" w:hAnsi="Times New Roman" w:eastAsia="楷体_GB2312" w:cs="Times New Roman"/>
                <w:color w:val="000000"/>
                <w:kern w:val="0"/>
                <w:sz w:val="22"/>
              </w:rPr>
              <w:t>主要是受疫情影响企业复工率不足且没有工亡人员待遇支出</w:t>
            </w:r>
            <w:r>
              <w:rPr>
                <w:rFonts w:hint="eastAsia" w:ascii="Times New Roman" w:hAnsi="Times New Roman" w:eastAsia="楷体_GB2312" w:cs="Times New Roman"/>
                <w:color w:val="000000"/>
                <w:kern w:val="0"/>
                <w:sz w:val="22"/>
              </w:rPr>
              <w:t>。</w:t>
            </w:r>
          </w:p>
        </w:tc>
      </w:tr>
    </w:tbl>
    <w:p>
      <w:pPr>
        <w:rPr>
          <w:rFonts w:ascii="Times New Roman" w:hAnsi="Times New Roman" w:eastAsia="楷体_GB2312"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spacing w:line="240" w:lineRule="exact"/>
      </w:pPr>
    </w:p>
    <w:sectPr>
      <w:footerReference r:id="rId4" w:type="default"/>
      <w:pgSz w:w="11906" w:h="16838"/>
      <w:pgMar w:top="1701"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001010101"/>
    <w:charset w:val="86"/>
    <w:family w:val="modern"/>
    <w:pitch w:val="default"/>
    <w:sig w:usb0="00000000" w:usb1="00000000" w:usb2="00000010" w:usb3="00000000" w:csb0="00040000" w:csb1="00000000"/>
  </w:font>
  <w:font w:name="楷体_GB2312">
    <w:altName w:val="楷体"/>
    <w:panose1 w:val="02010609030001010101"/>
    <w:charset w:val="86"/>
    <w:family w:val="modern"/>
    <w:pitch w:val="default"/>
    <w:sig w:usb0="00000000" w:usb1="00000000" w:usb2="00000010" w:usb3="00000000" w:csb0="00040000" w:csb1="00000000"/>
  </w:font>
  <w:font w:name="方正小标宋简体">
    <w:altName w:val="黑体"/>
    <w:panose1 w:val="020106010300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81</w:t>
    </w:r>
    <w:r>
      <w:rPr>
        <w:rFonts w:ascii="Times New Roman" w:hAnsi="Times New Roman" w:cs="Times New Roman"/>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5"/>
      <w:numFmt w:val="decimal"/>
      <w:suff w:val="space"/>
      <w:lvlText w:val="%1."/>
      <w:lvlJc w:val="left"/>
    </w:lvl>
  </w:abstractNum>
  <w:abstractNum w:abstractNumId="1">
    <w:nsid w:val="00000001"/>
    <w:multiLevelType w:val="singleLevel"/>
    <w:tmpl w:val="00000001"/>
    <w:lvl w:ilvl="0" w:tentative="0">
      <w:start w:val="14"/>
      <w:numFmt w:val="decimal"/>
      <w:lvlText w:val="%1."/>
      <w:lvlJc w:val="left"/>
      <w:pPr>
        <w:tabs>
          <w:tab w:val="left" w:pos="312"/>
        </w:tabs>
      </w:pPr>
    </w:lvl>
  </w:abstractNum>
  <w:abstractNum w:abstractNumId="2">
    <w:nsid w:val="29691F2D"/>
    <w:multiLevelType w:val="singleLevel"/>
    <w:tmpl w:val="29691F2D"/>
    <w:lvl w:ilvl="0" w:tentative="0">
      <w:start w:val="1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C589C"/>
    <w:rsid w:val="16425834"/>
    <w:rsid w:val="1DE0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uiPriority w:val="1"/>
  </w:style>
  <w:style w:type="table" w:default="1" w:styleId="10">
    <w:name w:val="Normal Table"/>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Indent"/>
    <w:basedOn w:val="1"/>
    <w:qFormat/>
    <w:uiPriority w:val="0"/>
    <w:pPr>
      <w:spacing w:line="540" w:lineRule="exact"/>
      <w:ind w:firstLine="640"/>
    </w:pPr>
    <w:rPr>
      <w:rFonts w:ascii="仿宋_GB2312" w:hAnsi="仿宋_GB2312" w:eastAsia="仿宋_GB2312"/>
      <w:kern w:val="1"/>
      <w:sz w:val="32"/>
      <w:szCs w:val="32"/>
    </w:rPr>
  </w:style>
  <w:style w:type="paragraph" w:styleId="4">
    <w:name w:val="Balloon Text"/>
    <w:basedOn w:val="1"/>
    <w:link w:val="52"/>
    <w:uiPriority w:val="99"/>
    <w:rPr>
      <w:sz w:val="18"/>
      <w:szCs w:val="18"/>
    </w:rPr>
  </w:style>
  <w:style w:type="paragraph" w:styleId="5">
    <w:name w:val="footer"/>
    <w:basedOn w:val="1"/>
    <w:link w:val="47"/>
    <w:qFormat/>
    <w:uiPriority w:val="99"/>
    <w:pPr>
      <w:tabs>
        <w:tab w:val="center" w:pos="4153"/>
        <w:tab w:val="right" w:pos="8306"/>
      </w:tabs>
      <w:snapToGrid w:val="0"/>
      <w:jc w:val="left"/>
    </w:pPr>
    <w:rPr>
      <w:sz w:val="18"/>
      <w:szCs w:val="18"/>
    </w:rPr>
  </w:style>
  <w:style w:type="paragraph" w:styleId="6">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99"/>
    <w:rPr>
      <w:color w:val="800080"/>
      <w:u w:val="single"/>
    </w:rPr>
  </w:style>
  <w:style w:type="character" w:styleId="9">
    <w:name w:val="Hyperlink"/>
    <w:basedOn w:val="7"/>
    <w:qFormat/>
    <w:uiPriority w:val="99"/>
    <w:rPr>
      <w:color w:val="0000FF"/>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4">
    <w:name w:val="font6"/>
    <w:basedOn w:val="1"/>
    <w:qFormat/>
    <w:uiPriority w:val="0"/>
    <w:pPr>
      <w:widowControl/>
      <w:spacing w:before="100" w:beforeAutospacing="1" w:after="100" w:afterAutospacing="1"/>
      <w:jc w:val="left"/>
    </w:pPr>
    <w:rPr>
      <w:rFonts w:ascii="楷体_GB2312" w:hAnsi="宋体" w:eastAsia="楷体_GB2312" w:cs="宋体"/>
      <w:color w:val="000000"/>
      <w:kern w:val="0"/>
      <w:sz w:val="22"/>
    </w:rPr>
  </w:style>
  <w:style w:type="paragraph" w:customStyle="1" w:styleId="15">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6">
    <w:name w:val="font8"/>
    <w:basedOn w:val="1"/>
    <w:qFormat/>
    <w:uiPriority w:val="0"/>
    <w:pPr>
      <w:widowControl/>
      <w:spacing w:before="100" w:beforeAutospacing="1" w:after="100" w:afterAutospacing="1"/>
      <w:jc w:val="left"/>
    </w:pPr>
    <w:rPr>
      <w:rFonts w:ascii="黑体" w:hAnsi="黑体" w:eastAsia="黑体" w:cs="宋体"/>
      <w:color w:val="000000"/>
      <w:kern w:val="0"/>
      <w:sz w:val="24"/>
      <w:szCs w:val="24"/>
    </w:rPr>
  </w:style>
  <w:style w:type="paragraph" w:customStyle="1" w:styleId="17">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18">
    <w:name w:val="font10"/>
    <w:basedOn w:val="1"/>
    <w:qFormat/>
    <w:uiPriority w:val="0"/>
    <w:pPr>
      <w:widowControl/>
      <w:spacing w:before="100" w:beforeAutospacing="1" w:after="100" w:afterAutospacing="1"/>
      <w:jc w:val="left"/>
    </w:pPr>
    <w:rPr>
      <w:rFonts w:ascii="黑体" w:hAnsi="黑体" w:eastAsia="黑体" w:cs="宋体"/>
      <w:color w:val="000000"/>
      <w:kern w:val="0"/>
      <w:sz w:val="22"/>
    </w:rPr>
  </w:style>
  <w:style w:type="paragraph" w:customStyle="1" w:styleId="19">
    <w:name w:val="xl69"/>
    <w:basedOn w:val="1"/>
    <w:qFormat/>
    <w:uiPriority w:val="0"/>
    <w:pPr>
      <w:widowControl/>
      <w:spacing w:before="100" w:beforeAutospacing="1" w:after="100" w:afterAutospacing="1"/>
    </w:pPr>
    <w:rPr>
      <w:rFonts w:ascii="楷体_GB2312" w:hAnsi="宋体" w:eastAsia="楷体_GB2312" w:cs="宋体"/>
      <w:color w:val="000000"/>
      <w:kern w:val="0"/>
      <w:sz w:val="24"/>
      <w:szCs w:val="24"/>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1">
    <w:name w:val="xl7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2">
    <w:name w:val="xl7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3">
    <w:name w:val="xl73"/>
    <w:basedOn w:val="1"/>
    <w:qFormat/>
    <w:uiPriority w:val="0"/>
    <w:pPr>
      <w:widowControl/>
      <w:spacing w:before="100" w:beforeAutospacing="1" w:after="100" w:afterAutospacing="1"/>
    </w:pPr>
    <w:rPr>
      <w:rFonts w:ascii="Times New Roman" w:hAnsi="Times New Roman" w:eastAsia="宋体" w:cs="Times New Roman"/>
      <w:color w:val="000000"/>
      <w:kern w:val="0"/>
      <w:szCs w:val="21"/>
    </w:rPr>
  </w:style>
  <w:style w:type="paragraph" w:customStyle="1" w:styleId="24">
    <w:name w:val="xl74"/>
    <w:basedOn w:val="1"/>
    <w:qFormat/>
    <w:uiPriority w:val="0"/>
    <w:pPr>
      <w:widowControl/>
      <w:spacing w:before="100" w:beforeAutospacing="1" w:after="100" w:afterAutospacing="1"/>
      <w:jc w:val="left"/>
    </w:pPr>
    <w:rPr>
      <w:rFonts w:ascii="楷体_GB2312" w:hAnsi="宋体" w:eastAsia="楷体_GB2312" w:cs="宋体"/>
      <w:color w:val="000000"/>
      <w:kern w:val="0"/>
      <w:sz w:val="22"/>
    </w:rPr>
  </w:style>
  <w:style w:type="paragraph" w:customStyle="1" w:styleId="25">
    <w:name w:val="xl75"/>
    <w:basedOn w:val="1"/>
    <w:qFormat/>
    <w:uiPriority w:val="0"/>
    <w:pPr>
      <w:widowControl/>
      <w:spacing w:before="100" w:beforeAutospacing="1" w:after="100" w:afterAutospacing="1"/>
      <w:ind w:firstLine="200" w:firstLineChars="200"/>
      <w:jc w:val="left"/>
    </w:pPr>
    <w:rPr>
      <w:rFonts w:ascii="楷体_GB2312" w:hAnsi="宋体" w:eastAsia="楷体_GB2312" w:cs="宋体"/>
      <w:color w:val="000000"/>
      <w:kern w:val="0"/>
      <w:sz w:val="22"/>
    </w:rPr>
  </w:style>
  <w:style w:type="paragraph" w:customStyle="1" w:styleId="26">
    <w:name w:val="xl7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ascii="Times New Roman" w:hAnsi="Times New Roman" w:eastAsia="宋体" w:cs="Times New Roman"/>
      <w:color w:val="000000"/>
      <w:kern w:val="0"/>
      <w:sz w:val="24"/>
      <w:szCs w:val="24"/>
    </w:rPr>
  </w:style>
  <w:style w:type="paragraph" w:customStyle="1" w:styleId="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28">
    <w:name w:val="xl78"/>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2"/>
    </w:rPr>
  </w:style>
  <w:style w:type="paragraph" w:customStyle="1" w:styleId="29">
    <w:name w:val="xl79"/>
    <w:basedOn w:val="1"/>
    <w:qFormat/>
    <w:uiPriority w:val="0"/>
    <w:pPr>
      <w:widowControl/>
      <w:spacing w:before="100" w:beforeAutospacing="1" w:after="100" w:afterAutospacing="1"/>
      <w:ind w:firstLine="200" w:firstLineChars="200"/>
      <w:jc w:val="left"/>
    </w:pPr>
    <w:rPr>
      <w:rFonts w:ascii="Times New Roman" w:hAnsi="Times New Roman" w:eastAsia="宋体" w:cs="Times New Roman"/>
      <w:color w:val="000000"/>
      <w:kern w:val="0"/>
      <w:sz w:val="22"/>
    </w:rPr>
  </w:style>
  <w:style w:type="paragraph" w:customStyle="1" w:styleId="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1">
    <w:name w:val="xl8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2">
    <w:name w:val="xl8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3">
    <w:name w:val="xl8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34">
    <w:name w:val="xl8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eastAsia="宋体" w:cs="宋体"/>
      <w:color w:val="000000"/>
      <w:kern w:val="0"/>
      <w:sz w:val="24"/>
      <w:szCs w:val="24"/>
    </w:rPr>
  </w:style>
  <w:style w:type="paragraph" w:customStyle="1" w:styleId="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24"/>
      <w:szCs w:val="24"/>
    </w:rPr>
  </w:style>
  <w:style w:type="paragraph" w:customStyle="1" w:styleId="36">
    <w:name w:val="xl8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2"/>
    </w:rPr>
  </w:style>
  <w:style w:type="paragraph" w:customStyle="1" w:styleId="37">
    <w:name w:val="xl8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Times New Roman" w:hAnsi="Times New Roman" w:eastAsia="宋体" w:cs="Times New Roman"/>
      <w:color w:val="FF0000"/>
      <w:kern w:val="0"/>
      <w:sz w:val="24"/>
      <w:szCs w:val="24"/>
    </w:rPr>
  </w:style>
  <w:style w:type="paragraph" w:customStyle="1" w:styleId="38">
    <w:name w:val="xl8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Times New Roman" w:hAnsi="Times New Roman" w:eastAsia="宋体" w:cs="Times New Roman"/>
      <w:color w:val="ED7D31"/>
      <w:kern w:val="0"/>
      <w:sz w:val="24"/>
      <w:szCs w:val="24"/>
    </w:rPr>
  </w:style>
  <w:style w:type="paragraph" w:customStyle="1" w:styleId="39">
    <w:name w:val="xl8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pPr>
    <w:rPr>
      <w:rFonts w:ascii="Times New Roman" w:hAnsi="Times New Roman" w:eastAsia="宋体" w:cs="Times New Roman"/>
      <w:color w:val="000000"/>
      <w:kern w:val="0"/>
      <w:sz w:val="24"/>
      <w:szCs w:val="24"/>
    </w:rPr>
  </w:style>
  <w:style w:type="paragraph" w:customStyle="1" w:styleId="40">
    <w:name w:val="xl90"/>
    <w:basedOn w:val="1"/>
    <w:qFormat/>
    <w:uiPriority w:val="0"/>
    <w:pPr>
      <w:widowControl/>
      <w:spacing w:before="100" w:beforeAutospacing="1" w:after="100" w:afterAutospacing="1"/>
      <w:jc w:val="center"/>
    </w:pPr>
    <w:rPr>
      <w:rFonts w:ascii="方正小标宋简体" w:hAnsi="宋体" w:eastAsia="方正小标宋简体" w:cs="宋体"/>
      <w:color w:val="000000"/>
      <w:kern w:val="0"/>
      <w:sz w:val="44"/>
      <w:szCs w:val="44"/>
    </w:rPr>
  </w:style>
  <w:style w:type="paragraph" w:customStyle="1" w:styleId="41">
    <w:name w:val="xl9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2">
    <w:name w:val="xl9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3">
    <w:name w:val="xl9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4">
    <w:name w:val="xl9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黑体" w:hAnsi="黑体" w:eastAsia="黑体" w:cs="宋体"/>
      <w:color w:val="000000"/>
      <w:kern w:val="0"/>
      <w:sz w:val="24"/>
      <w:szCs w:val="24"/>
    </w:rPr>
  </w:style>
  <w:style w:type="paragraph" w:customStyle="1" w:styleId="45">
    <w:name w:val="xl9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黑体" w:hAnsi="黑体" w:eastAsia="黑体" w:cs="宋体"/>
      <w:color w:val="000000"/>
      <w:kern w:val="0"/>
      <w:sz w:val="24"/>
      <w:szCs w:val="24"/>
    </w:rPr>
  </w:style>
  <w:style w:type="character" w:customStyle="1" w:styleId="46">
    <w:name w:val="页眉 Char"/>
    <w:basedOn w:val="7"/>
    <w:link w:val="6"/>
    <w:qFormat/>
    <w:uiPriority w:val="99"/>
    <w:rPr>
      <w:sz w:val="18"/>
      <w:szCs w:val="18"/>
    </w:rPr>
  </w:style>
  <w:style w:type="character" w:customStyle="1" w:styleId="47">
    <w:name w:val="页脚 Char"/>
    <w:basedOn w:val="7"/>
    <w:link w:val="5"/>
    <w:qFormat/>
    <w:uiPriority w:val="99"/>
    <w:rPr>
      <w:sz w:val="18"/>
      <w:szCs w:val="18"/>
    </w:rPr>
  </w:style>
  <w:style w:type="character" w:customStyle="1" w:styleId="48">
    <w:name w:val="font41"/>
    <w:basedOn w:val="7"/>
    <w:qFormat/>
    <w:uiPriority w:val="0"/>
    <w:rPr>
      <w:rFonts w:hint="eastAsia" w:ascii="宋体" w:hAnsi="宋体" w:eastAsia="宋体" w:cs="宋体"/>
      <w:b/>
      <w:color w:val="000000"/>
      <w:sz w:val="24"/>
      <w:szCs w:val="24"/>
      <w:u w:val="none"/>
    </w:rPr>
  </w:style>
  <w:style w:type="character" w:customStyle="1" w:styleId="49">
    <w:name w:val="font01"/>
    <w:basedOn w:val="7"/>
    <w:qFormat/>
    <w:uiPriority w:val="0"/>
    <w:rPr>
      <w:rFonts w:hint="eastAsia" w:ascii="宋体" w:hAnsi="宋体" w:eastAsia="宋体" w:cs="宋体"/>
      <w:color w:val="000000"/>
      <w:sz w:val="24"/>
      <w:szCs w:val="24"/>
      <w:u w:val="none"/>
    </w:rPr>
  </w:style>
  <w:style w:type="character" w:customStyle="1" w:styleId="50">
    <w:name w:val="font51"/>
    <w:basedOn w:val="7"/>
    <w:qFormat/>
    <w:uiPriority w:val="0"/>
    <w:rPr>
      <w:rFonts w:hint="eastAsia" w:ascii="宋体" w:hAnsi="宋体" w:eastAsia="宋体" w:cs="宋体"/>
      <w:b/>
      <w:color w:val="000000"/>
      <w:sz w:val="24"/>
      <w:szCs w:val="24"/>
      <w:u w:val="none"/>
    </w:rPr>
  </w:style>
  <w:style w:type="character" w:customStyle="1" w:styleId="51">
    <w:name w:val="font11"/>
    <w:basedOn w:val="7"/>
    <w:qFormat/>
    <w:uiPriority w:val="0"/>
    <w:rPr>
      <w:rFonts w:hint="eastAsia" w:ascii="宋体" w:hAnsi="宋体" w:eastAsia="宋体" w:cs="宋体"/>
      <w:b/>
      <w:color w:val="000000"/>
      <w:sz w:val="24"/>
      <w:szCs w:val="24"/>
      <w:u w:val="none"/>
    </w:rPr>
  </w:style>
  <w:style w:type="character" w:customStyle="1" w:styleId="52">
    <w:name w:val="批注框文本 Char"/>
    <w:basedOn w:val="7"/>
    <w:link w:val="4"/>
    <w:uiPriority w:val="99"/>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84</Pages>
  <Words>22842</Words>
  <Characters>37354</Characters>
  <Paragraphs>12976</Paragraphs>
  <TotalTime>0</TotalTime>
  <ScaleCrop>false</ScaleCrop>
  <LinksUpToDate>false</LinksUpToDate>
  <CharactersWithSpaces>49648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2020-07-24T05:12:00Z</dcterms:created>
  <dc:creator>Administrator</dc:creator>
  <cp:lastModifiedBy>项佳佳</cp:lastModifiedBy>
  <dcterms:modified xsi:type="dcterms:W3CDTF">2020-08-18T01:16:10Z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