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hAnsi="黑体" w:eastAsia="黑体"/>
          <w:b/>
          <w:color w:val="000000"/>
          <w:sz w:val="44"/>
          <w:szCs w:val="24"/>
          <w:highlight w:val="white"/>
        </w:rPr>
      </w:pPr>
      <w:r>
        <w:rPr>
          <w:rFonts w:hint="eastAsia" w:ascii="黑体" w:hAnsi="黑体" w:eastAsia="黑体"/>
          <w:b/>
          <w:spacing w:val="15"/>
          <w:sz w:val="44"/>
          <w:szCs w:val="24"/>
          <w:highlight w:val="white"/>
          <w:lang w:val="en-US" w:eastAsia="zh-CN"/>
        </w:rPr>
        <w:t>兰溪市会计核算中心</w:t>
      </w:r>
      <w:r>
        <w:rPr>
          <w:rFonts w:hint="eastAsia" w:ascii="黑体" w:hAnsi="黑体" w:eastAsia="黑体"/>
          <w:b/>
          <w:color w:val="000000"/>
          <w:sz w:val="44"/>
          <w:szCs w:val="24"/>
          <w:highlight w:val="white"/>
        </w:rPr>
        <w:t>2021年度单位决算</w:t>
      </w:r>
    </w:p>
    <w:p>
      <w:pPr>
        <w:spacing w:beforeLines="0" w:afterLines="0" w:line="324" w:lineRule="auto"/>
        <w:jc w:val="center"/>
        <w:rPr>
          <w:rFonts w:hint="eastAsia" w:ascii="黑体" w:hAnsi="黑体" w:eastAsia="黑体"/>
          <w:b/>
          <w:color w:val="000000"/>
          <w:sz w:val="44"/>
          <w:szCs w:val="24"/>
          <w:highlight w:val="white"/>
        </w:rPr>
      </w:pPr>
      <w:r>
        <w:rPr>
          <w:rFonts w:hint="eastAsia" w:ascii="黑体" w:hAnsi="黑体" w:eastAsia="黑体"/>
          <w:b/>
          <w:color w:val="000000"/>
          <w:sz w:val="44"/>
          <w:szCs w:val="24"/>
          <w:highlight w:val="white"/>
        </w:rPr>
        <w:t>目录</w:t>
      </w:r>
    </w:p>
    <w:p>
      <w:pPr>
        <w:pStyle w:val="6"/>
        <w:rPr>
          <w:rFonts w:hint="eastAsia"/>
        </w:rPr>
      </w:pPr>
    </w:p>
    <w:p>
      <w:pPr>
        <w:spacing w:beforeLines="0" w:afterLines="0" w:line="360" w:lineRule="auto"/>
        <w:jc w:val="left"/>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一、概况.................................................2</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（一）单位职责......................................2</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（二）机构设置.......................................2</w:t>
      </w:r>
    </w:p>
    <w:p>
      <w:pPr>
        <w:spacing w:beforeLines="0" w:afterLines="0" w:line="360" w:lineRule="auto"/>
        <w:jc w:val="left"/>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二、2021年度单位决算公开表..............................2</w:t>
      </w:r>
      <w:r>
        <w:rPr>
          <w:rFonts w:hint="eastAsia" w:ascii="仿宋" w:hAnsi="仿宋" w:eastAsia="仿宋" w:cs="Times New Roman"/>
          <w:color w:val="000000"/>
          <w:sz w:val="30"/>
          <w:szCs w:val="24"/>
          <w:highlight w:val="white"/>
          <w:lang w:val="zh-CN" w:eastAsia="zh-CN"/>
        </w:rPr>
        <w:t>三、</w:t>
      </w:r>
      <w:r>
        <w:rPr>
          <w:rFonts w:hint="eastAsia" w:ascii="仿宋" w:hAnsi="仿宋" w:eastAsia="仿宋" w:cs="Times New Roman"/>
          <w:color w:val="000000"/>
          <w:sz w:val="30"/>
          <w:szCs w:val="24"/>
          <w:highlight w:val="white"/>
          <w:lang w:val="en-US" w:eastAsia="zh-CN"/>
        </w:rPr>
        <w:t>2021年度单位决算情况说明...........................2</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收入支出决算总体情况说明......................2</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收入决算情况说明..............................2</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360" w:lineRule="auto"/>
        <w:ind w:left="0" w:leftChars="0"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支出决算情况说明..............................3</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360" w:lineRule="auto"/>
        <w:ind w:left="0" w:leftChars="0"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财政拨款收入支出决算总体情况说明..............3</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（五）一般公共预算财政拨款支出决算情况说明...........3</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（六）一般公共预算财政拨款基本支出决算情况说明......5</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（七）政府性基金预算财政拨款支出</w:t>
      </w:r>
      <w:r>
        <w:rPr>
          <w:rFonts w:hint="eastAsia" w:ascii="仿宋" w:hAnsi="仿宋" w:eastAsia="仿宋" w:cs="Times New Roman"/>
          <w:color w:val="000000"/>
          <w:sz w:val="30"/>
          <w:szCs w:val="24"/>
          <w:highlight w:val="white"/>
          <w:lang w:val="zh-CN" w:eastAsia="zh-CN"/>
        </w:rPr>
        <w:t>决算</w:t>
      </w:r>
      <w:r>
        <w:rPr>
          <w:rFonts w:hint="eastAsia" w:ascii="仿宋" w:hAnsi="仿宋" w:eastAsia="仿宋" w:cs="Times New Roman"/>
          <w:color w:val="000000"/>
          <w:sz w:val="30"/>
          <w:szCs w:val="24"/>
          <w:highlight w:val="white"/>
          <w:lang w:val="en-US" w:eastAsia="zh-CN"/>
        </w:rPr>
        <w:t>总体情况说明.....5</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（八）国有资本经营预算财政拨款支出</w:t>
      </w:r>
      <w:r>
        <w:rPr>
          <w:rFonts w:hint="eastAsia" w:ascii="仿宋" w:hAnsi="仿宋" w:eastAsia="仿宋" w:cs="Times New Roman"/>
          <w:color w:val="000000"/>
          <w:sz w:val="30"/>
          <w:szCs w:val="24"/>
          <w:highlight w:val="white"/>
          <w:lang w:val="zh-CN" w:eastAsia="zh-CN"/>
        </w:rPr>
        <w:t>决算</w:t>
      </w:r>
      <w:r>
        <w:rPr>
          <w:rFonts w:hint="eastAsia" w:ascii="仿宋" w:hAnsi="仿宋" w:eastAsia="仿宋" w:cs="Times New Roman"/>
          <w:color w:val="000000"/>
          <w:sz w:val="30"/>
          <w:szCs w:val="24"/>
          <w:highlight w:val="white"/>
          <w:lang w:val="en-US" w:eastAsia="zh-CN"/>
        </w:rPr>
        <w:t>总体情况说明...6</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（九）一般公共预算财政拨款“三公”经费支出决算情况说明.6</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（十）机关运行经费支出说明...........................7</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eastAsia"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（十一）政府采购支出说明.............................7</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（十二）国有资产占有情况说明........................8</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firstLineChars="200"/>
        <w:jc w:val="left"/>
        <w:textAlignment w:val="auto"/>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（十三）预算绩效情况说明.............................8</w:t>
      </w:r>
    </w:p>
    <w:p>
      <w:pPr>
        <w:spacing w:beforeLines="0" w:afterLines="0" w:line="360" w:lineRule="auto"/>
        <w:jc w:val="left"/>
        <w:rPr>
          <w:rFonts w:hint="default" w:ascii="仿宋" w:hAnsi="仿宋" w:eastAsia="仿宋" w:cs="Times New Roman"/>
          <w:color w:val="000000"/>
          <w:sz w:val="30"/>
          <w:szCs w:val="24"/>
          <w:highlight w:val="white"/>
          <w:lang w:val="en-US" w:eastAsia="zh-CN"/>
        </w:rPr>
      </w:pPr>
      <w:r>
        <w:rPr>
          <w:rFonts w:hint="eastAsia" w:ascii="仿宋" w:hAnsi="仿宋" w:eastAsia="仿宋" w:cs="Times New Roman"/>
          <w:color w:val="000000"/>
          <w:sz w:val="30"/>
          <w:szCs w:val="24"/>
          <w:highlight w:val="white"/>
          <w:lang w:val="en-US" w:eastAsia="zh-CN"/>
        </w:rPr>
        <w:t>四、名词解释............................................10</w:t>
      </w:r>
      <w:bookmarkStart w:id="0" w:name="_GoBack"/>
      <w:bookmarkEnd w:id="0"/>
    </w:p>
    <w:p>
      <w:pPr>
        <w:pStyle w:val="6"/>
        <w:spacing w:beforeLines="0" w:afterLines="0"/>
        <w:rPr>
          <w:rFonts w:hint="eastAsia"/>
          <w:sz w:val="24"/>
          <w:szCs w:val="24"/>
        </w:rPr>
      </w:pPr>
    </w:p>
    <w:p>
      <w:pPr>
        <w:spacing w:beforeLines="0" w:afterLines="0" w:line="324" w:lineRule="auto"/>
        <w:ind w:firstLine="600"/>
        <w:rPr>
          <w:rFonts w:hint="eastAsia" w:ascii="黑体" w:hAnsi="黑体" w:eastAsia="黑体"/>
          <w:b/>
          <w:color w:val="000000"/>
          <w:sz w:val="32"/>
          <w:szCs w:val="24"/>
          <w:highlight w:val="white"/>
          <w:lang w:val="en-US"/>
        </w:rPr>
      </w:pPr>
      <w:r>
        <w:rPr>
          <w:rFonts w:hint="eastAsia" w:ascii="黑体" w:hAnsi="黑体" w:eastAsia="黑体"/>
          <w:b/>
          <w:color w:val="000000"/>
          <w:sz w:val="32"/>
          <w:szCs w:val="24"/>
          <w:highlight w:val="white"/>
          <w:lang w:val="en-US"/>
        </w:rPr>
        <w:t>一、概况</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（一）</w:t>
      </w:r>
      <w:r>
        <w:rPr>
          <w:rFonts w:hint="eastAsia" w:ascii="楷体" w:hAnsi="楷体" w:eastAsia="楷体"/>
          <w:b/>
          <w:color w:val="000000"/>
          <w:sz w:val="32"/>
          <w:szCs w:val="24"/>
          <w:highlight w:val="white"/>
          <w:lang w:val="en-US" w:eastAsia="zh-CN"/>
        </w:rPr>
        <w:t>单位</w:t>
      </w:r>
      <w:r>
        <w:rPr>
          <w:rFonts w:hint="eastAsia" w:ascii="楷体" w:hAnsi="楷体" w:eastAsia="楷体"/>
          <w:b/>
          <w:color w:val="000000"/>
          <w:sz w:val="32"/>
          <w:szCs w:val="24"/>
          <w:highlight w:val="white"/>
          <w:lang w:val="en-US"/>
        </w:rPr>
        <w:t>职责</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_GB2312" w:hAnsi="仿宋_GB2312" w:eastAsia="仿宋_GB2312"/>
          <w:sz w:val="32"/>
          <w:szCs w:val="24"/>
        </w:rPr>
        <w:t>兰溪市会计核算中心贯彻落实党中央、省委和市委关于国库集中支付和代理会计核算等工作的方针政策和决策部署，负责办理财政国库集中支付业务的审核、支付工作。</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（二）机构设置</w:t>
      </w:r>
    </w:p>
    <w:p>
      <w:pPr>
        <w:keepNext w:val="0"/>
        <w:keepLines w:val="0"/>
        <w:pageBreakBefore w:val="0"/>
        <w:widowControl/>
        <w:kinsoku/>
        <w:wordWrap/>
        <w:overflowPunct/>
        <w:topLinePunct w:val="0"/>
        <w:autoSpaceDE/>
        <w:autoSpaceDN/>
        <w:bidi w:val="0"/>
        <w:adjustRightInd/>
        <w:snapToGrid/>
        <w:spacing w:beforeLines="0" w:afterLines="0" w:line="324" w:lineRule="auto"/>
        <w:ind w:firstLine="640" w:firstLineChars="200"/>
        <w:textAlignment w:val="auto"/>
        <w:rPr>
          <w:rFonts w:hint="default" w:hAnsi="仿宋_GB2312" w:eastAsia="仿宋_GB2312"/>
          <w:sz w:val="32"/>
          <w:szCs w:val="24"/>
          <w:lang w:val="en-US"/>
        </w:rPr>
      </w:pPr>
      <w:r>
        <w:rPr>
          <w:rFonts w:hint="eastAsia" w:ascii="仿宋" w:hAnsi="仿宋" w:eastAsia="仿宋"/>
          <w:color w:val="000000"/>
          <w:sz w:val="32"/>
          <w:szCs w:val="24"/>
          <w:highlight w:val="white"/>
        </w:rPr>
        <w:t>从预算单位构成看，</w:t>
      </w:r>
      <w:r>
        <w:rPr>
          <w:rFonts w:hint="eastAsia" w:ascii="仿宋" w:hAnsi="仿宋" w:eastAsia="仿宋"/>
          <w:color w:val="000000"/>
          <w:sz w:val="32"/>
          <w:szCs w:val="24"/>
          <w:highlight w:val="white"/>
          <w:lang w:val="en-US" w:eastAsia="zh-CN"/>
        </w:rPr>
        <w:t>本单位无内设科室。</w:t>
      </w:r>
    </w:p>
    <w:p>
      <w:pPr>
        <w:spacing w:beforeLines="0" w:afterLines="0" w:line="324" w:lineRule="auto"/>
        <w:ind w:firstLine="643" w:firstLineChars="200"/>
        <w:rPr>
          <w:rFonts w:hint="eastAsia" w:ascii="黑体" w:hAnsi="黑体" w:eastAsia="黑体"/>
          <w:b/>
          <w:color w:val="000000"/>
          <w:sz w:val="32"/>
          <w:szCs w:val="24"/>
          <w:highlight w:val="white"/>
          <w:lang w:val="en-US"/>
        </w:rPr>
      </w:pPr>
      <w:r>
        <w:rPr>
          <w:rFonts w:hint="eastAsia" w:ascii="黑体" w:hAnsi="黑体" w:eastAsia="黑体"/>
          <w:b/>
          <w:color w:val="000000"/>
          <w:sz w:val="32"/>
          <w:szCs w:val="24"/>
          <w:highlight w:val="white"/>
          <w:lang w:val="en-US"/>
        </w:rPr>
        <w:t>二、2021年度</w:t>
      </w:r>
      <w:r>
        <w:rPr>
          <w:rFonts w:hint="eastAsia" w:ascii="黑体" w:hAnsi="黑体" w:eastAsia="黑体"/>
          <w:b/>
          <w:color w:val="000000"/>
          <w:sz w:val="32"/>
          <w:szCs w:val="24"/>
          <w:highlight w:val="white"/>
          <w:lang w:val="en-US" w:eastAsia="zh-CN"/>
        </w:rPr>
        <w:t>单位</w:t>
      </w:r>
      <w:r>
        <w:rPr>
          <w:rFonts w:hint="eastAsia" w:ascii="黑体" w:hAnsi="黑体" w:eastAsia="黑体"/>
          <w:b/>
          <w:color w:val="000000"/>
          <w:sz w:val="32"/>
          <w:szCs w:val="24"/>
          <w:highlight w:val="white"/>
          <w:lang w:val="en-US"/>
        </w:rPr>
        <w:t>决算公开表</w:t>
      </w:r>
    </w:p>
    <w:p>
      <w:pPr>
        <w:spacing w:beforeLines="0" w:afterLines="0" w:line="324" w:lineRule="auto"/>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详见附表</w:t>
      </w:r>
      <w:r>
        <w:rPr>
          <w:rFonts w:hint="eastAsia" w:ascii="仿宋_GB2312" w:hAnsi="仿宋_GB2312" w:eastAsia="仿宋_GB2312"/>
          <w:color w:val="000000"/>
          <w:sz w:val="32"/>
          <w:szCs w:val="24"/>
          <w:highlight w:val="white"/>
          <w:lang w:val="en-US"/>
        </w:rPr>
        <w:t>。</w:t>
      </w:r>
    </w:p>
    <w:p>
      <w:pPr>
        <w:spacing w:beforeLines="0" w:afterLines="0" w:line="324" w:lineRule="auto"/>
        <w:ind w:firstLine="594"/>
        <w:rPr>
          <w:rFonts w:hint="default" w:eastAsia="Times New Roman"/>
          <w:b/>
          <w:color w:val="000000"/>
          <w:sz w:val="32"/>
          <w:szCs w:val="24"/>
          <w:highlight w:val="white"/>
          <w:lang w:val="en-US"/>
        </w:rPr>
      </w:pPr>
      <w:r>
        <w:rPr>
          <w:rFonts w:hint="eastAsia" w:ascii="黑体" w:hAnsi="黑体" w:eastAsia="黑体"/>
          <w:b/>
          <w:color w:val="auto"/>
          <w:sz w:val="32"/>
          <w:szCs w:val="24"/>
          <w:highlight w:val="white"/>
          <w:lang w:val="zh-CN"/>
        </w:rPr>
        <w:t>三、</w:t>
      </w:r>
      <w:r>
        <w:rPr>
          <w:rFonts w:hint="eastAsia" w:ascii="黑体" w:hAnsi="黑体" w:eastAsia="黑体"/>
          <w:b/>
          <w:color w:val="000000"/>
          <w:sz w:val="32"/>
          <w:szCs w:val="24"/>
          <w:highlight w:val="white"/>
          <w:lang w:val="en-US"/>
        </w:rPr>
        <w:t>2021年度</w:t>
      </w:r>
      <w:r>
        <w:rPr>
          <w:rFonts w:hint="eastAsia" w:ascii="黑体" w:hAnsi="黑体" w:eastAsia="黑体"/>
          <w:b/>
          <w:color w:val="000000"/>
          <w:sz w:val="32"/>
          <w:szCs w:val="24"/>
          <w:highlight w:val="white"/>
          <w:lang w:val="en-US" w:eastAsia="zh-CN"/>
        </w:rPr>
        <w:t>单位</w:t>
      </w:r>
      <w:r>
        <w:rPr>
          <w:rFonts w:hint="eastAsia" w:ascii="黑体" w:hAnsi="黑体" w:eastAsia="黑体"/>
          <w:b/>
          <w:color w:val="000000"/>
          <w:sz w:val="32"/>
          <w:szCs w:val="24"/>
          <w:highlight w:val="white"/>
          <w:lang w:val="en-US"/>
        </w:rPr>
        <w:t>决算情况说明</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（一）收入支出决算总体情况说明</w:t>
      </w:r>
    </w:p>
    <w:p>
      <w:pPr>
        <w:spacing w:beforeLines="0" w:afterLines="0" w:line="324" w:lineRule="auto"/>
        <w:ind w:firstLine="594"/>
        <w:rPr>
          <w:rFonts w:hint="default" w:eastAsia="Times New Roman"/>
          <w:b/>
          <w:color w:val="000000"/>
          <w:sz w:val="32"/>
          <w:szCs w:val="24"/>
          <w:highlight w:val="white"/>
          <w:lang w:val="en-US"/>
        </w:rPr>
      </w:pPr>
      <w:r>
        <w:rPr>
          <w:rFonts w:hint="eastAsia" w:ascii="仿宋" w:hAnsi="仿宋" w:eastAsia="仿宋"/>
          <w:color w:val="000000"/>
          <w:sz w:val="32"/>
          <w:szCs w:val="24"/>
          <w:highlight w:val="white"/>
          <w:lang w:val="en-US"/>
        </w:rPr>
        <w:t>2021年度收入总计471.81万元，支出总计471.81万元,与2020年度相比，各减少</w:t>
      </w:r>
      <w:r>
        <w:rPr>
          <w:rFonts w:hint="eastAsia" w:ascii="仿宋" w:hAnsi="仿宋" w:eastAsia="仿宋"/>
          <w:color w:val="000000"/>
          <w:sz w:val="32"/>
          <w:szCs w:val="24"/>
          <w:highlight w:val="white"/>
          <w:lang w:val="en-US" w:eastAsia="zh-CN"/>
        </w:rPr>
        <w:t>18.85</w:t>
      </w:r>
      <w:r>
        <w:rPr>
          <w:rFonts w:hint="eastAsia" w:ascii="仿宋" w:hAnsi="仿宋" w:eastAsia="仿宋"/>
          <w:color w:val="000000"/>
          <w:sz w:val="32"/>
          <w:szCs w:val="24"/>
          <w:highlight w:val="white"/>
          <w:lang w:val="en-US"/>
        </w:rPr>
        <w:t>万元，下降</w:t>
      </w:r>
      <w:r>
        <w:rPr>
          <w:rFonts w:hint="eastAsia" w:ascii="仿宋" w:hAnsi="仿宋" w:eastAsia="仿宋"/>
          <w:color w:val="000000"/>
          <w:sz w:val="32"/>
          <w:szCs w:val="24"/>
          <w:highlight w:val="white"/>
          <w:lang w:val="en-US" w:eastAsia="zh-CN"/>
        </w:rPr>
        <w:t>3.84</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000000"/>
          <w:sz w:val="32"/>
          <w:szCs w:val="24"/>
          <w:highlight w:val="white"/>
          <w:lang w:val="en-US"/>
        </w:rPr>
        <w:t>。</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（二）收入决算情况说明</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收入合计471.81万元；包括财政拨款收入471.81万元（其中，一般公共预算471.81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（三）支出决算情况说明</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本年支出合计471.81万元，其中基本支出378.47万元，占80.22%；项目支出93.34万元，占19.78%；上缴上级支出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万元，占0%；经营支出0万元，占0%；对附属单位补助支出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2021年度财政拨款收入总计471.81万元，支出总计471.81万元，与2020年相比，各减少</w:t>
      </w:r>
      <w:r>
        <w:rPr>
          <w:rFonts w:hint="eastAsia" w:ascii="仿宋" w:hAnsi="仿宋" w:eastAsia="仿宋"/>
          <w:color w:val="000000"/>
          <w:sz w:val="32"/>
          <w:szCs w:val="24"/>
          <w:highlight w:val="white"/>
          <w:lang w:val="en-US" w:eastAsia="zh-CN"/>
        </w:rPr>
        <w:t>18.85</w:t>
      </w:r>
      <w:r>
        <w:rPr>
          <w:rFonts w:hint="eastAsia" w:ascii="仿宋" w:hAnsi="仿宋" w:eastAsia="仿宋"/>
          <w:color w:val="000000"/>
          <w:sz w:val="32"/>
          <w:szCs w:val="24"/>
          <w:highlight w:val="white"/>
          <w:lang w:val="en-US"/>
        </w:rPr>
        <w:t>万元，下降</w:t>
      </w:r>
      <w:r>
        <w:rPr>
          <w:rFonts w:hint="eastAsia" w:ascii="仿宋" w:hAnsi="仿宋" w:eastAsia="仿宋"/>
          <w:color w:val="000000"/>
          <w:sz w:val="32"/>
          <w:szCs w:val="24"/>
          <w:highlight w:val="white"/>
          <w:lang w:val="en-US" w:eastAsia="zh-CN"/>
        </w:rPr>
        <w:t>3.84</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财政拨款支出年初预算数</w:t>
      </w:r>
      <w:r>
        <w:rPr>
          <w:rFonts w:hint="eastAsia" w:ascii="仿宋" w:hAnsi="仿宋" w:eastAsia="仿宋"/>
          <w:color w:val="000000"/>
          <w:sz w:val="32"/>
          <w:szCs w:val="24"/>
          <w:highlight w:val="white"/>
          <w:lang w:val="en-US" w:eastAsia="zh-CN"/>
        </w:rPr>
        <w:t>551.36</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85.57</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auto"/>
          <w:sz w:val="32"/>
          <w:szCs w:val="24"/>
          <w:highlight w:val="white"/>
          <w:lang w:val="en-US"/>
        </w:rPr>
        <w:t>。</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2021年度一般公共预算财政拨款支出471.81万元，占本年支出合计的100%。与2020年相比，一般公共预算财政拨款支出减少</w:t>
      </w:r>
      <w:r>
        <w:rPr>
          <w:rFonts w:hint="eastAsia" w:ascii="仿宋" w:hAnsi="仿宋" w:eastAsia="仿宋"/>
          <w:color w:val="000000"/>
          <w:sz w:val="32"/>
          <w:szCs w:val="24"/>
          <w:highlight w:val="white"/>
          <w:lang w:val="en-US" w:eastAsia="zh-CN"/>
        </w:rPr>
        <w:t>18.85</w:t>
      </w:r>
      <w:r>
        <w:rPr>
          <w:rFonts w:hint="eastAsia" w:ascii="仿宋" w:hAnsi="仿宋" w:eastAsia="仿宋"/>
          <w:color w:val="000000"/>
          <w:sz w:val="32"/>
          <w:szCs w:val="24"/>
          <w:highlight w:val="white"/>
          <w:lang w:val="en-US"/>
        </w:rPr>
        <w:t>万元，下降</w:t>
      </w:r>
      <w:r>
        <w:rPr>
          <w:rFonts w:hint="eastAsia" w:ascii="仿宋" w:hAnsi="仿宋" w:eastAsia="仿宋"/>
          <w:color w:val="000000"/>
          <w:sz w:val="32"/>
          <w:szCs w:val="24"/>
          <w:highlight w:val="white"/>
          <w:lang w:val="en-US" w:eastAsia="zh-CN"/>
        </w:rPr>
        <w:t>3.84</w:t>
      </w:r>
      <w:r>
        <w:rPr>
          <w:rFonts w:hint="eastAsia" w:ascii="仿宋" w:hAnsi="仿宋" w:eastAsia="仿宋"/>
          <w:color w:val="000000"/>
          <w:sz w:val="32"/>
          <w:szCs w:val="24"/>
          <w:highlight w:val="white"/>
          <w:lang w:val="en-US"/>
        </w:rPr>
        <w:t>%。主要原因是：</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000000"/>
          <w:sz w:val="32"/>
          <w:szCs w:val="24"/>
          <w:highlight w:val="white"/>
          <w:lang w:val="en-US"/>
        </w:rPr>
        <w:t>。</w:t>
      </w:r>
    </w:p>
    <w:p>
      <w:pPr>
        <w:spacing w:beforeLines="0" w:afterLines="0"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2021年度一般公共预算财政拨款支出471.81万元，主要用于以下方面：一般公共服务（类）支出</w:t>
      </w:r>
      <w:r>
        <w:rPr>
          <w:rFonts w:hint="eastAsia" w:ascii="仿宋" w:hAnsi="仿宋" w:eastAsia="仿宋"/>
          <w:color w:val="auto"/>
          <w:sz w:val="32"/>
          <w:szCs w:val="24"/>
          <w:highlight w:val="white"/>
          <w:lang w:val="zh-CN"/>
        </w:rPr>
        <w:t>464.01</w:t>
      </w:r>
      <w:r>
        <w:rPr>
          <w:rFonts w:hint="eastAsia" w:ascii="仿宋" w:hAnsi="仿宋" w:eastAsia="仿宋"/>
          <w:color w:val="000000"/>
          <w:sz w:val="32"/>
          <w:szCs w:val="24"/>
          <w:highlight w:val="white"/>
          <w:lang w:val="en-US"/>
        </w:rPr>
        <w:t>万元，占98.35%；国防（类）支出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万元,占0%；公共安全（类）支出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万元,占0%；教育（类）支出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万元,占0%；科学技术（类）支出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万元,占0%；文化旅游体育与传媒（类）支出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万元,占0%；社会保障和就业（类）支出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万元,占0%；卫生健康（类）支出</w:t>
      </w:r>
      <w:r>
        <w:rPr>
          <w:rFonts w:hint="eastAsia" w:ascii="仿宋" w:hAnsi="仿宋" w:eastAsia="仿宋"/>
          <w:color w:val="auto"/>
          <w:sz w:val="32"/>
          <w:szCs w:val="24"/>
          <w:highlight w:val="white"/>
          <w:lang w:val="zh-CN"/>
        </w:rPr>
        <w:t>7.8</w:t>
      </w:r>
      <w:r>
        <w:rPr>
          <w:rFonts w:hint="eastAsia" w:ascii="仿宋" w:hAnsi="仿宋" w:eastAsia="仿宋"/>
          <w:color w:val="000000"/>
          <w:sz w:val="32"/>
          <w:szCs w:val="24"/>
          <w:highlight w:val="white"/>
          <w:lang w:val="en-US"/>
        </w:rPr>
        <w:t>万元,占1.65%；节能环保（类）支出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万元,占0%；城乡社区（类）支出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万元,占0%；农林水（类）支出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万元,占0%；交通运输（类）支出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万元,占0%；资源勘探工业信息等（类）支出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万元,占0%；商业服务业等（类）支出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万元,占0%；金融（类）支出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万元,占0%；援助其他地区（类）支出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万元,占0%；自然资源海洋气象等（类）支出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万元,占0%；住房保障（类）支出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万元,占0%；粮油物资储备（类）支出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万元,占0%；灾害防治及应急管理（类）支出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万元,占0%；其他（类）支出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万元,占0%；债务还本（类）支出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万元,占0%；债务付息（类）支出</w:t>
      </w:r>
      <w:r>
        <w:rPr>
          <w:rFonts w:hint="eastAsia" w:ascii="仿宋" w:hAnsi="仿宋" w:eastAsia="仿宋"/>
          <w:color w:val="auto"/>
          <w:sz w:val="32"/>
          <w:szCs w:val="24"/>
          <w:highlight w:val="white"/>
          <w:lang w:val="zh-CN"/>
        </w:rPr>
        <w:t>0</w:t>
      </w:r>
      <w:r>
        <w:rPr>
          <w:rFonts w:hint="eastAsia" w:ascii="仿宋" w:hAnsi="仿宋" w:eastAsia="仿宋"/>
          <w:color w:val="000000"/>
          <w:sz w:val="32"/>
          <w:szCs w:val="24"/>
          <w:highlight w:val="white"/>
          <w:lang w:val="en-US"/>
        </w:rPr>
        <w:t>万元,占0%。</w:t>
      </w:r>
    </w:p>
    <w:p>
      <w:pPr>
        <w:spacing w:beforeLines="0" w:afterLines="0" w:line="324" w:lineRule="auto"/>
        <w:ind w:firstLine="606"/>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auto"/>
          <w:sz w:val="32"/>
          <w:szCs w:val="24"/>
          <w:highlight w:val="white"/>
          <w:lang w:val="en-US"/>
        </w:rPr>
        <w:t>2021年度</w:t>
      </w:r>
      <w:r>
        <w:rPr>
          <w:rFonts w:hint="eastAsia" w:ascii="仿宋" w:hAnsi="仿宋" w:eastAsia="仿宋"/>
          <w:color w:val="000000"/>
          <w:sz w:val="32"/>
          <w:szCs w:val="24"/>
          <w:highlight w:val="white"/>
          <w:lang w:val="en-US"/>
        </w:rPr>
        <w:t>一般公共预算</w:t>
      </w:r>
      <w:r>
        <w:rPr>
          <w:rFonts w:hint="eastAsia" w:ascii="仿宋" w:hAnsi="仿宋" w:eastAsia="仿宋"/>
          <w:color w:val="auto"/>
          <w:sz w:val="32"/>
          <w:szCs w:val="24"/>
          <w:highlight w:val="white"/>
          <w:lang w:val="en-US"/>
        </w:rPr>
        <w:t>财政拨款支出年初预算为</w:t>
      </w:r>
      <w:r>
        <w:rPr>
          <w:rFonts w:hint="eastAsia" w:ascii="仿宋" w:hAnsi="仿宋" w:eastAsia="仿宋"/>
          <w:color w:val="000000"/>
          <w:sz w:val="32"/>
          <w:szCs w:val="24"/>
          <w:highlight w:val="white"/>
          <w:lang w:val="en-US" w:eastAsia="zh-CN"/>
        </w:rPr>
        <w:t>551.36</w:t>
      </w:r>
      <w:r>
        <w:rPr>
          <w:rFonts w:hint="eastAsia" w:ascii="仿宋" w:hAnsi="仿宋" w:eastAsia="仿宋"/>
          <w:color w:val="auto"/>
          <w:sz w:val="32"/>
          <w:szCs w:val="24"/>
          <w:highlight w:val="white"/>
          <w:lang w:val="en-US"/>
        </w:rPr>
        <w:t>万元，支出决算为</w:t>
      </w:r>
      <w:r>
        <w:rPr>
          <w:rFonts w:hint="eastAsia" w:ascii="仿宋" w:hAnsi="仿宋" w:eastAsia="仿宋"/>
          <w:color w:val="000000"/>
          <w:sz w:val="32"/>
          <w:szCs w:val="24"/>
          <w:highlight w:val="white"/>
          <w:lang w:val="en-US"/>
        </w:rPr>
        <w:t>471.81万元</w:t>
      </w:r>
      <w:r>
        <w:rPr>
          <w:rFonts w:hint="eastAsia" w:ascii="仿宋" w:hAnsi="仿宋" w:eastAsia="仿宋"/>
          <w:color w:val="auto"/>
          <w:sz w:val="32"/>
          <w:szCs w:val="24"/>
          <w:highlight w:val="white"/>
          <w:lang w:val="en-US"/>
        </w:rPr>
        <w:t>,完成年初预算的</w:t>
      </w:r>
      <w:r>
        <w:rPr>
          <w:rFonts w:hint="eastAsia" w:ascii="仿宋" w:hAnsi="仿宋" w:eastAsia="仿宋"/>
          <w:color w:val="000000"/>
          <w:sz w:val="32"/>
          <w:szCs w:val="24"/>
          <w:highlight w:val="white"/>
          <w:lang w:val="en-US" w:eastAsia="zh-CN"/>
        </w:rPr>
        <w:t>85.57</w:t>
      </w:r>
      <w:r>
        <w:rPr>
          <w:rFonts w:hint="eastAsia" w:ascii="仿宋" w:hAnsi="仿宋" w:eastAsia="仿宋"/>
          <w:color w:val="000000"/>
          <w:sz w:val="32"/>
          <w:szCs w:val="24"/>
          <w:highlight w:val="white"/>
          <w:lang w:val="en-US"/>
        </w:rPr>
        <w:t>%</w:t>
      </w:r>
      <w:r>
        <w:rPr>
          <w:rFonts w:hint="eastAsia" w:ascii="仿宋" w:hAnsi="仿宋" w:eastAsia="仿宋"/>
          <w:color w:val="auto"/>
          <w:sz w:val="32"/>
          <w:szCs w:val="24"/>
          <w:highlight w:val="white"/>
          <w:lang w:val="en-US"/>
        </w:rPr>
        <w:t>，主要原因是</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auto"/>
          <w:sz w:val="32"/>
          <w:szCs w:val="24"/>
          <w:highlight w:val="white"/>
          <w:lang w:val="en-US"/>
        </w:rPr>
        <w:t>。</w:t>
      </w:r>
      <w:r>
        <w:rPr>
          <w:rFonts w:hint="eastAsia" w:ascii="仿宋" w:hAnsi="仿宋" w:eastAsia="仿宋"/>
          <w:color w:val="000000"/>
          <w:sz w:val="32"/>
          <w:szCs w:val="24"/>
          <w:highlight w:val="white"/>
          <w:lang w:val="en-US"/>
        </w:rPr>
        <w:t>其中：</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一般公共服务支出（类）财政事务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行政运行</w:t>
      </w:r>
      <w:r>
        <w:rPr>
          <w:rFonts w:hint="eastAsia" w:ascii="仿宋" w:hAnsi="仿宋" w:eastAsia="仿宋"/>
          <w:color w:val="000000"/>
          <w:sz w:val="28"/>
          <w:szCs w:val="24"/>
          <w:highlight w:val="white"/>
          <w:lang w:val="en-US"/>
        </w:rPr>
        <w:t>（项）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413.02</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370.67</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89.75</w:t>
      </w:r>
      <w:r>
        <w:rPr>
          <w:rFonts w:hint="eastAsia" w:ascii="仿宋" w:hAnsi="仿宋" w:eastAsia="仿宋"/>
          <w:color w:val="000000"/>
          <w:sz w:val="32"/>
          <w:szCs w:val="24"/>
          <w:highlight w:val="white"/>
          <w:lang w:val="en-US"/>
        </w:rPr>
        <w:t>%，决算数小于预算数的主要原因</w:t>
      </w:r>
      <w:r>
        <w:rPr>
          <w:rFonts w:hint="eastAsia" w:ascii="仿宋" w:hAnsi="仿宋" w:eastAsia="仿宋"/>
          <w:color w:val="000000"/>
          <w:sz w:val="32"/>
          <w:szCs w:val="24"/>
          <w:highlight w:val="white"/>
          <w:lang w:val="en-US" w:eastAsia="zh-CN"/>
        </w:rPr>
        <w:t>当年调出在编人员一名，所属11月单位部分公务卡还款未归还</w:t>
      </w:r>
      <w:r>
        <w:rPr>
          <w:rFonts w:hint="eastAsia" w:ascii="仿宋" w:hAnsi="仿宋" w:eastAsia="仿宋"/>
          <w:color w:val="000000"/>
          <w:sz w:val="32"/>
          <w:szCs w:val="24"/>
          <w:highlight w:val="white"/>
          <w:lang w:val="en-US"/>
        </w:rPr>
        <w:t>。</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一般公共服务支出（类）财政事务</w:t>
      </w:r>
      <w:r>
        <w:rPr>
          <w:rFonts w:hint="eastAsia" w:ascii="仿宋" w:hAnsi="仿宋" w:eastAsia="仿宋"/>
          <w:color w:val="000000"/>
          <w:sz w:val="28"/>
          <w:szCs w:val="24"/>
          <w:highlight w:val="white"/>
          <w:lang w:val="en-US"/>
        </w:rPr>
        <w:t>（款）</w:t>
      </w:r>
      <w:r>
        <w:rPr>
          <w:rFonts w:hint="eastAsia" w:ascii="仿宋" w:hAnsi="仿宋" w:eastAsia="仿宋"/>
          <w:color w:val="000000"/>
          <w:sz w:val="32"/>
          <w:szCs w:val="24"/>
          <w:highlight w:val="white"/>
          <w:lang w:val="en-US"/>
        </w:rPr>
        <w:t>一般行政管理事务</w:t>
      </w:r>
      <w:r>
        <w:rPr>
          <w:rFonts w:hint="eastAsia" w:ascii="仿宋" w:hAnsi="仿宋" w:eastAsia="仿宋"/>
          <w:color w:val="000000"/>
          <w:sz w:val="28"/>
          <w:szCs w:val="24"/>
          <w:highlight w:val="white"/>
          <w:lang w:val="en-US"/>
        </w:rPr>
        <w:t>（项</w:t>
      </w:r>
      <w:r>
        <w:rPr>
          <w:rFonts w:hint="eastAsia" w:ascii="仿宋" w:hAnsi="仿宋" w:eastAsia="仿宋"/>
          <w:color w:val="000000"/>
          <w:sz w:val="28"/>
          <w:szCs w:val="24"/>
          <w:highlight w:val="white"/>
          <w:lang w:val="en-US" w:eastAsia="zh-CN"/>
        </w:rPr>
        <w:t>）</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129.15</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93.34</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72.27</w:t>
      </w:r>
      <w:r>
        <w:rPr>
          <w:rFonts w:hint="eastAsia" w:ascii="仿宋" w:hAnsi="仿宋" w:eastAsia="仿宋"/>
          <w:color w:val="000000"/>
          <w:sz w:val="32"/>
          <w:szCs w:val="24"/>
          <w:highlight w:val="white"/>
          <w:lang w:val="en-US"/>
        </w:rPr>
        <w:t>%，决算数小于预算数的主要原因</w:t>
      </w:r>
      <w:r>
        <w:rPr>
          <w:rFonts w:hint="eastAsia" w:ascii="仿宋" w:hAnsi="仿宋" w:eastAsia="仿宋"/>
          <w:color w:val="000000"/>
          <w:sz w:val="32"/>
          <w:szCs w:val="24"/>
          <w:highlight w:val="white"/>
          <w:lang w:val="en-US" w:eastAsia="zh-CN"/>
        </w:rPr>
        <w:t>相关设备更新购置未发生、日常公用节省开支等</w:t>
      </w:r>
      <w:r>
        <w:rPr>
          <w:rFonts w:hint="eastAsia" w:ascii="仿宋" w:hAnsi="仿宋" w:eastAsia="仿宋"/>
          <w:color w:val="auto"/>
          <w:sz w:val="32"/>
          <w:szCs w:val="24"/>
          <w:highlight w:val="white"/>
          <w:lang w:val="en-US"/>
        </w:rPr>
        <w:t>。</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eastAsia="zh-CN"/>
        </w:rPr>
        <w:t>卫生健康支出（类）行政事业单位医疗</w:t>
      </w:r>
      <w:r>
        <w:rPr>
          <w:rFonts w:hint="eastAsia" w:ascii="仿宋" w:hAnsi="仿宋" w:eastAsia="仿宋"/>
          <w:color w:val="000000"/>
          <w:sz w:val="28"/>
          <w:szCs w:val="24"/>
          <w:highlight w:val="white"/>
          <w:lang w:val="en-US"/>
        </w:rPr>
        <w:t>（款）</w:t>
      </w:r>
      <w:r>
        <w:rPr>
          <w:rFonts w:hint="eastAsia" w:ascii="仿宋" w:hAnsi="仿宋" w:eastAsia="仿宋"/>
          <w:color w:val="000000"/>
          <w:sz w:val="32"/>
          <w:szCs w:val="24"/>
          <w:highlight w:val="white"/>
          <w:lang w:val="en-US"/>
        </w:rPr>
        <w:t>行政单位医疗</w:t>
      </w:r>
      <w:r>
        <w:rPr>
          <w:rFonts w:hint="eastAsia" w:ascii="仿宋" w:hAnsi="仿宋" w:eastAsia="仿宋"/>
          <w:color w:val="000000"/>
          <w:sz w:val="28"/>
          <w:szCs w:val="24"/>
          <w:highlight w:val="white"/>
          <w:lang w:val="en-US"/>
        </w:rPr>
        <w:t>（项）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8.72</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7.33</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84.06</w:t>
      </w:r>
      <w:r>
        <w:rPr>
          <w:rFonts w:hint="eastAsia" w:ascii="仿宋" w:hAnsi="仿宋" w:eastAsia="仿宋"/>
          <w:color w:val="000000"/>
          <w:sz w:val="32"/>
          <w:szCs w:val="24"/>
          <w:highlight w:val="white"/>
          <w:lang w:val="en-US"/>
        </w:rPr>
        <w:t>%，决算数小于预算数的主要原因</w:t>
      </w:r>
      <w:r>
        <w:rPr>
          <w:rFonts w:hint="eastAsia" w:ascii="仿宋" w:hAnsi="仿宋" w:eastAsia="仿宋"/>
          <w:color w:val="000000"/>
          <w:sz w:val="32"/>
          <w:szCs w:val="24"/>
          <w:highlight w:val="white"/>
          <w:lang w:val="en-US" w:eastAsia="zh-CN"/>
        </w:rPr>
        <w:t>所属11月单位部分公务卡还款未归还。</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卫生健康支出（类）行政事业单位医疗</w:t>
      </w:r>
      <w:r>
        <w:rPr>
          <w:rFonts w:hint="eastAsia" w:ascii="仿宋" w:hAnsi="仿宋" w:eastAsia="仿宋"/>
          <w:color w:val="000000"/>
          <w:sz w:val="28"/>
          <w:szCs w:val="24"/>
          <w:highlight w:val="white"/>
          <w:lang w:val="en-US"/>
        </w:rPr>
        <w:t>（款）</w:t>
      </w:r>
      <w:r>
        <w:rPr>
          <w:rFonts w:hint="eastAsia" w:ascii="仿宋" w:hAnsi="仿宋" w:eastAsia="仿宋"/>
          <w:color w:val="000000"/>
          <w:sz w:val="32"/>
          <w:szCs w:val="24"/>
          <w:highlight w:val="white"/>
          <w:lang w:val="en-US"/>
        </w:rPr>
        <w:t>事业单位医疗</w:t>
      </w:r>
      <w:r>
        <w:rPr>
          <w:rFonts w:hint="eastAsia" w:ascii="仿宋" w:hAnsi="仿宋" w:eastAsia="仿宋"/>
          <w:color w:val="000000"/>
          <w:sz w:val="28"/>
          <w:szCs w:val="24"/>
          <w:highlight w:val="white"/>
          <w:lang w:val="en-US"/>
        </w:rPr>
        <w:t>（项）</w:t>
      </w:r>
      <w:r>
        <w:rPr>
          <w:rFonts w:hint="eastAsia" w:ascii="仿宋" w:hAnsi="仿宋" w:eastAsia="仿宋"/>
          <w:color w:val="000000"/>
          <w:sz w:val="32"/>
          <w:szCs w:val="24"/>
          <w:highlight w:val="white"/>
          <w:lang w:val="en-US"/>
        </w:rPr>
        <w:t>。年初预算为</w:t>
      </w:r>
      <w:r>
        <w:rPr>
          <w:rFonts w:hint="eastAsia" w:ascii="仿宋" w:hAnsi="仿宋" w:eastAsia="仿宋"/>
          <w:color w:val="000000"/>
          <w:sz w:val="32"/>
          <w:szCs w:val="24"/>
          <w:highlight w:val="white"/>
          <w:lang w:val="en-US" w:eastAsia="zh-CN"/>
        </w:rPr>
        <w:t>0.47</w:t>
      </w:r>
      <w:r>
        <w:rPr>
          <w:rFonts w:hint="eastAsia" w:ascii="仿宋" w:hAnsi="仿宋" w:eastAsia="仿宋"/>
          <w:color w:val="000000"/>
          <w:sz w:val="32"/>
          <w:szCs w:val="24"/>
          <w:highlight w:val="white"/>
          <w:lang w:val="en-US"/>
        </w:rPr>
        <w:t>万元，支出决算为</w:t>
      </w:r>
      <w:r>
        <w:rPr>
          <w:rFonts w:hint="eastAsia" w:ascii="仿宋" w:hAnsi="仿宋" w:eastAsia="仿宋"/>
          <w:color w:val="000000"/>
          <w:sz w:val="32"/>
          <w:szCs w:val="24"/>
          <w:highlight w:val="white"/>
          <w:lang w:val="en-US" w:eastAsia="zh-CN"/>
        </w:rPr>
        <w:t>0.47</w:t>
      </w:r>
      <w:r>
        <w:rPr>
          <w:rFonts w:hint="eastAsia" w:ascii="仿宋" w:hAnsi="仿宋" w:eastAsia="仿宋"/>
          <w:color w:val="000000"/>
          <w:sz w:val="32"/>
          <w:szCs w:val="24"/>
          <w:highlight w:val="white"/>
          <w:lang w:val="en-US"/>
        </w:rPr>
        <w:t>万元，完成年初预算的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w:t>
      </w:r>
      <w:r>
        <w:rPr>
          <w:rFonts w:hint="eastAsia" w:ascii="仿宋" w:hAnsi="仿宋" w:eastAsia="仿宋"/>
          <w:color w:val="000000"/>
          <w:sz w:val="32"/>
          <w:szCs w:val="24"/>
          <w:highlight w:val="white"/>
          <w:lang w:val="en-US" w:eastAsia="zh-CN"/>
        </w:rPr>
        <w:t>。</w:t>
      </w:r>
    </w:p>
    <w:p>
      <w:pPr>
        <w:spacing w:beforeLines="0" w:afterLines="0" w:line="324" w:lineRule="auto"/>
        <w:ind w:firstLine="594"/>
        <w:rPr>
          <w:rFonts w:hint="default" w:eastAsia="Times New Roman"/>
          <w:color w:val="000000"/>
          <w:sz w:val="32"/>
          <w:szCs w:val="24"/>
          <w:highlight w:val="white"/>
          <w:lang w:val="en-US"/>
        </w:rPr>
      </w:pPr>
      <w:r>
        <w:rPr>
          <w:rFonts w:hint="eastAsia" w:ascii="楷体" w:hAnsi="楷体" w:eastAsia="楷体"/>
          <w:b/>
          <w:color w:val="000000"/>
          <w:sz w:val="32"/>
          <w:szCs w:val="24"/>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2021年度一般公共预算财政拨款基本支出378.47万元，其中：</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人员经费362.68万元，主要包括：基本工资、津贴补贴、奖金</w:t>
      </w:r>
      <w:r>
        <w:rPr>
          <w:rFonts w:hint="eastAsia" w:ascii="仿宋" w:hAnsi="仿宋" w:eastAsia="仿宋"/>
          <w:color w:val="000000"/>
          <w:sz w:val="32"/>
          <w:szCs w:val="24"/>
          <w:highlight w:val="white"/>
          <w:lang w:val="en-US" w:eastAsia="zh-CN"/>
        </w:rPr>
        <w:t>、绩效工资、伙食补助费、机关事业单位基本养老保险缴费、职工基本医疗保险缴费、公务员医疗补助缴费、其他社会保障缴费、住房公积金、职业年金缴费、其他工资福利支出、对个人和家庭的补助等支出</w:t>
      </w:r>
      <w:r>
        <w:rPr>
          <w:rFonts w:hint="eastAsia" w:ascii="仿宋" w:hAnsi="仿宋" w:eastAsia="仿宋"/>
          <w:color w:val="000000"/>
          <w:sz w:val="32"/>
          <w:szCs w:val="24"/>
          <w:highlight w:val="white"/>
          <w:lang w:val="en-US"/>
        </w:rPr>
        <w:t>。</w:t>
      </w:r>
    </w:p>
    <w:p>
      <w:pPr>
        <w:spacing w:beforeLines="0" w:afterLines="0" w:line="324" w:lineRule="auto"/>
        <w:ind w:firstLine="594"/>
        <w:rPr>
          <w:rFonts w:hint="default" w:eastAsia="Times New Roman"/>
          <w:color w:val="000000"/>
          <w:sz w:val="32"/>
          <w:szCs w:val="24"/>
          <w:highlight w:val="white"/>
          <w:lang w:val="en-US"/>
        </w:rPr>
      </w:pPr>
      <w:r>
        <w:rPr>
          <w:rFonts w:hint="eastAsia" w:ascii="仿宋" w:hAnsi="仿宋" w:eastAsia="仿宋"/>
          <w:color w:val="000000"/>
          <w:sz w:val="32"/>
          <w:szCs w:val="24"/>
          <w:highlight w:val="white"/>
          <w:lang w:val="en-US"/>
        </w:rPr>
        <w:t>公用经费15.8万元，主要包括：办公费、印刷费、</w:t>
      </w:r>
      <w:r>
        <w:rPr>
          <w:rFonts w:hint="eastAsia" w:ascii="仿宋" w:hAnsi="仿宋" w:eastAsia="仿宋"/>
          <w:color w:val="000000"/>
          <w:sz w:val="32"/>
          <w:szCs w:val="24"/>
          <w:highlight w:val="white"/>
          <w:lang w:val="en-US" w:eastAsia="zh-CN"/>
        </w:rPr>
        <w:t>水电费邮电费、差旅费、维修（护）费、租赁费、劳务费、委托业务费、工会经费、福利费、公务用车运行维护费、其他商品和服务支出等。</w:t>
      </w:r>
    </w:p>
    <w:p>
      <w:pPr>
        <w:numPr>
          <w:ilvl w:val="0"/>
          <w:numId w:val="2"/>
        </w:num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政府性基金预算财政拨款支出</w:t>
      </w:r>
      <w:r>
        <w:rPr>
          <w:rFonts w:hint="eastAsia" w:ascii="楷体" w:hAnsi="楷体" w:eastAsia="楷体"/>
          <w:b/>
          <w:color w:val="000000"/>
          <w:sz w:val="32"/>
          <w:szCs w:val="24"/>
          <w:highlight w:val="white"/>
          <w:lang w:val="zh-CN"/>
        </w:rPr>
        <w:t>决算</w:t>
      </w:r>
      <w:r>
        <w:rPr>
          <w:rFonts w:hint="eastAsia" w:ascii="楷体" w:hAnsi="楷体" w:eastAsia="楷体"/>
          <w:b/>
          <w:color w:val="000000"/>
          <w:sz w:val="32"/>
          <w:szCs w:val="24"/>
          <w:highlight w:val="white"/>
          <w:lang w:val="en-US"/>
        </w:rPr>
        <w:t>总体情况说明</w:t>
      </w:r>
    </w:p>
    <w:p>
      <w:pPr>
        <w:numPr>
          <w:ilvl w:val="0"/>
          <w:numId w:val="0"/>
        </w:numPr>
        <w:spacing w:beforeLines="0" w:afterLines="0" w:line="324" w:lineRule="auto"/>
        <w:ind w:firstLine="640" w:firstLineChars="200"/>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rPr>
        <w:t>本</w:t>
      </w:r>
      <w:r>
        <w:rPr>
          <w:rFonts w:hint="eastAsia" w:ascii="仿宋" w:hAnsi="仿宋" w:eastAsia="仿宋"/>
          <w:color w:val="000000"/>
          <w:sz w:val="32"/>
          <w:szCs w:val="24"/>
          <w:highlight w:val="white"/>
          <w:lang w:eastAsia="zh-CN"/>
        </w:rPr>
        <w:t>单位</w:t>
      </w:r>
      <w:r>
        <w:rPr>
          <w:rFonts w:hint="eastAsia" w:ascii="仿宋" w:hAnsi="仿宋" w:eastAsia="仿宋"/>
          <w:color w:val="000000"/>
          <w:sz w:val="32"/>
          <w:szCs w:val="24"/>
          <w:highlight w:val="white"/>
        </w:rPr>
        <w:t>202</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rPr>
        <w:t>年度</w:t>
      </w:r>
      <w:r>
        <w:rPr>
          <w:rFonts w:hint="eastAsia" w:ascii="仿宋" w:hAnsi="仿宋" w:eastAsia="仿宋"/>
          <w:color w:val="000000"/>
          <w:sz w:val="32"/>
          <w:szCs w:val="24"/>
          <w:highlight w:val="white"/>
          <w:lang w:val="en-US" w:eastAsia="zh-CN"/>
        </w:rPr>
        <w:t>和2021年度均</w:t>
      </w:r>
      <w:r>
        <w:rPr>
          <w:rFonts w:hint="eastAsia" w:ascii="仿宋" w:hAnsi="仿宋" w:eastAsia="仿宋"/>
          <w:color w:val="000000"/>
          <w:sz w:val="32"/>
          <w:szCs w:val="24"/>
          <w:highlight w:val="white"/>
        </w:rPr>
        <w:t>无政府性基金预算财政拨款收支安排，故无相关数据。</w:t>
      </w:r>
    </w:p>
    <w:p>
      <w:pPr>
        <w:numPr>
          <w:ilvl w:val="0"/>
          <w:numId w:val="2"/>
        </w:num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国有资本经营预算财政拨款支出</w:t>
      </w:r>
      <w:r>
        <w:rPr>
          <w:rFonts w:hint="eastAsia" w:ascii="楷体" w:hAnsi="楷体" w:eastAsia="楷体"/>
          <w:b/>
          <w:color w:val="000000"/>
          <w:sz w:val="32"/>
          <w:szCs w:val="24"/>
          <w:highlight w:val="white"/>
          <w:lang w:val="zh-CN"/>
        </w:rPr>
        <w:t>决算</w:t>
      </w:r>
      <w:r>
        <w:rPr>
          <w:rFonts w:hint="eastAsia" w:ascii="楷体" w:hAnsi="楷体" w:eastAsia="楷体"/>
          <w:b/>
          <w:color w:val="000000"/>
          <w:sz w:val="32"/>
          <w:szCs w:val="24"/>
          <w:highlight w:val="white"/>
          <w:lang w:val="en-US"/>
        </w:rPr>
        <w:t>总体情况说明</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仿宋" w:hAnsi="仿宋" w:eastAsia="仿宋"/>
          <w:sz w:val="32"/>
          <w:szCs w:val="24"/>
          <w:highlight w:val="white"/>
        </w:rPr>
        <w:t>本</w:t>
      </w:r>
      <w:r>
        <w:rPr>
          <w:rFonts w:hint="eastAsia" w:ascii="仿宋" w:hAnsi="仿宋" w:eastAsia="仿宋"/>
          <w:sz w:val="32"/>
          <w:szCs w:val="24"/>
          <w:highlight w:val="white"/>
          <w:lang w:eastAsia="zh-CN"/>
        </w:rPr>
        <w:t>单位</w:t>
      </w:r>
      <w:r>
        <w:rPr>
          <w:rFonts w:hint="eastAsia" w:ascii="仿宋" w:hAnsi="仿宋" w:eastAsia="仿宋"/>
          <w:sz w:val="32"/>
          <w:szCs w:val="24"/>
          <w:highlight w:val="white"/>
        </w:rPr>
        <w:t>202</w:t>
      </w:r>
      <w:r>
        <w:rPr>
          <w:rFonts w:hint="eastAsia" w:ascii="仿宋" w:hAnsi="仿宋" w:eastAsia="仿宋"/>
          <w:sz w:val="32"/>
          <w:szCs w:val="24"/>
          <w:highlight w:val="white"/>
          <w:lang w:val="en-US" w:eastAsia="zh-CN"/>
        </w:rPr>
        <w:t>1</w:t>
      </w:r>
      <w:r>
        <w:rPr>
          <w:rFonts w:hint="eastAsia" w:ascii="仿宋" w:hAnsi="仿宋" w:eastAsia="仿宋"/>
          <w:sz w:val="32"/>
          <w:szCs w:val="24"/>
          <w:highlight w:val="white"/>
        </w:rPr>
        <w:t>年度无国有资本经营预算财政拨款收支安排，故无相关数据。</w:t>
      </w:r>
    </w:p>
    <w:p>
      <w:pPr>
        <w:spacing w:beforeLines="0" w:afterLines="0" w:line="324" w:lineRule="auto"/>
        <w:ind w:firstLine="594"/>
        <w:rPr>
          <w:rFonts w:hint="default" w:eastAsia="Times New Roman"/>
          <w:b/>
          <w:color w:val="000000"/>
          <w:sz w:val="32"/>
          <w:szCs w:val="24"/>
          <w:highlight w:val="white"/>
          <w:lang w:val="en-US"/>
        </w:rPr>
      </w:pPr>
      <w:r>
        <w:rPr>
          <w:rFonts w:hint="eastAsia" w:ascii="楷体" w:hAnsi="楷体" w:eastAsia="楷体"/>
          <w:b/>
          <w:color w:val="000000"/>
          <w:sz w:val="32"/>
          <w:szCs w:val="24"/>
          <w:highlight w:val="white"/>
          <w:lang w:val="en-US"/>
        </w:rPr>
        <w:t>（九）一般公共预算财政拨款“三公”经费支出决算情况说明</w:t>
      </w:r>
    </w:p>
    <w:p>
      <w:pPr>
        <w:spacing w:beforeLines="0" w:afterLines="0"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 xml:space="preserve">1.“三公”经费一般公共预算财政拨款支出决算总体情况说明。 </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2021年度“三公”经费一般公共预算财政拨款支出预算为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万元，支出决算为0万元</w:t>
      </w:r>
      <w:r>
        <w:rPr>
          <w:rFonts w:hint="eastAsia" w:ascii="仿宋" w:hAnsi="仿宋" w:eastAsia="仿宋"/>
          <w:color w:val="000000"/>
          <w:sz w:val="32"/>
          <w:szCs w:val="24"/>
          <w:highlight w:val="white"/>
          <w:lang w:val="en-US" w:eastAsia="zh-CN"/>
        </w:rPr>
        <w:t>。</w:t>
      </w:r>
    </w:p>
    <w:p>
      <w:pPr>
        <w:spacing w:beforeLines="0" w:afterLines="0"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2.“三公”经费一般公共预算财政拨款支出决算具体情况说明。</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2021年度“三公”经费一般公共预算财政拨款支出决算中，因公出国（境）费用支出决算为0万元，占0%，与2020年度相比，</w:t>
      </w:r>
      <w:r>
        <w:rPr>
          <w:rFonts w:hint="eastAsia" w:ascii="仿宋" w:hAnsi="仿宋" w:eastAsia="仿宋"/>
          <w:color w:val="000000"/>
          <w:sz w:val="32"/>
          <w:szCs w:val="24"/>
          <w:highlight w:val="white"/>
          <w:lang w:val="en-US" w:eastAsia="zh-CN"/>
        </w:rPr>
        <w:t>无变化</w:t>
      </w:r>
      <w:r>
        <w:rPr>
          <w:rFonts w:hint="eastAsia" w:ascii="仿宋" w:hAnsi="仿宋" w:eastAsia="仿宋"/>
          <w:color w:val="000000"/>
          <w:sz w:val="32"/>
          <w:szCs w:val="24"/>
          <w:highlight w:val="white"/>
          <w:lang w:val="en-US"/>
        </w:rPr>
        <w:t>；公务用车购置及运行维护费支出决算为0万元，占0%，与2020年度相比</w:t>
      </w:r>
      <w:r>
        <w:rPr>
          <w:rFonts w:hint="eastAsia" w:ascii="仿宋" w:hAnsi="仿宋" w:eastAsia="仿宋"/>
          <w:color w:val="000000"/>
          <w:sz w:val="32"/>
          <w:szCs w:val="24"/>
          <w:highlight w:val="white"/>
          <w:lang w:val="en-US" w:eastAsia="zh-CN"/>
        </w:rPr>
        <w:t>无变化</w:t>
      </w:r>
      <w:r>
        <w:rPr>
          <w:rFonts w:hint="eastAsia" w:ascii="仿宋" w:hAnsi="仿宋" w:eastAsia="仿宋"/>
          <w:color w:val="000000"/>
          <w:sz w:val="32"/>
          <w:szCs w:val="24"/>
          <w:highlight w:val="white"/>
          <w:lang w:val="en-US"/>
        </w:rPr>
        <w:t>；公务接待费支出决算为0万元，占0%，与2020年度相比，</w:t>
      </w:r>
      <w:r>
        <w:rPr>
          <w:rFonts w:hint="eastAsia" w:ascii="仿宋" w:hAnsi="仿宋" w:eastAsia="仿宋"/>
          <w:color w:val="000000"/>
          <w:sz w:val="32"/>
          <w:szCs w:val="24"/>
          <w:highlight w:val="white"/>
          <w:lang w:val="en-US" w:eastAsia="zh-CN"/>
        </w:rPr>
        <w:t>无变化。</w:t>
      </w:r>
      <w:r>
        <w:rPr>
          <w:rFonts w:hint="eastAsia" w:ascii="仿宋" w:hAnsi="仿宋" w:eastAsia="仿宋"/>
          <w:color w:val="000000"/>
          <w:sz w:val="32"/>
          <w:szCs w:val="24"/>
          <w:highlight w:val="white"/>
          <w:lang w:val="en-US"/>
        </w:rPr>
        <w:t>具体情况如下：</w:t>
      </w:r>
    </w:p>
    <w:p>
      <w:pPr>
        <w:numPr>
          <w:ilvl w:val="0"/>
          <w:numId w:val="3"/>
        </w:num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因公出国（境）费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w:t>
      </w:r>
      <w:r>
        <w:rPr>
          <w:rFonts w:hint="eastAsia" w:ascii="仿宋" w:hAnsi="仿宋" w:eastAsia="仿宋"/>
          <w:color w:val="000000"/>
          <w:sz w:val="28"/>
          <w:szCs w:val="24"/>
          <w:highlight w:val="white"/>
          <w:lang w:val="en-US"/>
        </w:rPr>
        <w:t>全年使用一般公共预算财政拨款支出涉及因公出国(境)团组</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个；累计</w:t>
      </w:r>
      <w:r>
        <w:rPr>
          <w:rFonts w:hint="eastAsia" w:ascii="仿宋" w:hAnsi="仿宋" w:eastAsia="仿宋"/>
          <w:color w:val="000000"/>
          <w:sz w:val="28"/>
          <w:szCs w:val="24"/>
          <w:highlight w:val="white"/>
          <w:lang w:val="en-US" w:eastAsia="zh-CN"/>
        </w:rPr>
        <w:t>0</w:t>
      </w:r>
      <w:r>
        <w:rPr>
          <w:rFonts w:hint="eastAsia" w:ascii="仿宋" w:hAnsi="仿宋" w:eastAsia="仿宋"/>
          <w:color w:val="000000"/>
          <w:sz w:val="28"/>
          <w:szCs w:val="24"/>
          <w:highlight w:val="white"/>
          <w:lang w:val="en-US"/>
        </w:rPr>
        <w:t>人次。</w:t>
      </w:r>
    </w:p>
    <w:p>
      <w:pPr>
        <w:numPr>
          <w:ilvl w:val="0"/>
          <w:numId w:val="3"/>
        </w:num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公务用车购置及运行维护费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万元，支出决算为0万元</w:t>
      </w:r>
      <w:r>
        <w:rPr>
          <w:rFonts w:hint="eastAsia" w:ascii="仿宋" w:hAnsi="仿宋" w:eastAsia="仿宋"/>
          <w:color w:val="000000"/>
          <w:sz w:val="32"/>
          <w:szCs w:val="24"/>
          <w:highlight w:val="white"/>
          <w:lang w:val="en-US" w:eastAsia="zh-CN"/>
        </w:rPr>
        <w:t>。</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b/>
          <w:color w:val="000000"/>
          <w:sz w:val="32"/>
          <w:szCs w:val="24"/>
          <w:highlight w:val="white"/>
          <w:lang w:val="en-US"/>
        </w:rPr>
        <w:t>公务用车购置</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b/>
          <w:color w:val="000000"/>
          <w:sz w:val="32"/>
          <w:szCs w:val="24"/>
          <w:highlight w:val="white"/>
          <w:lang w:val="en-US"/>
        </w:rPr>
        <w:t>公务用车运行维护费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w:t>
      </w:r>
      <w:r>
        <w:rPr>
          <w:rFonts w:hint="eastAsia" w:ascii="仿宋" w:hAnsi="仿宋" w:eastAsia="仿宋"/>
          <w:color w:val="auto"/>
          <w:sz w:val="30"/>
          <w:szCs w:val="24"/>
          <w:highlight w:val="white"/>
          <w:lang w:val="zh-CN"/>
        </w:rPr>
        <w:t>0</w:t>
      </w:r>
      <w:r>
        <w:rPr>
          <w:rFonts w:hint="eastAsia" w:ascii="仿宋" w:hAnsi="仿宋" w:eastAsia="仿宋"/>
          <w:color w:val="000000"/>
          <w:sz w:val="32"/>
          <w:szCs w:val="24"/>
          <w:highlight w:val="white"/>
          <w:lang w:val="en-US"/>
        </w:rPr>
        <w:t>万元。</w:t>
      </w:r>
      <w:r>
        <w:rPr>
          <w:rFonts w:hint="eastAsia" w:ascii="仿宋" w:hAnsi="仿宋" w:eastAsia="仿宋"/>
          <w:color w:val="000000"/>
          <w:sz w:val="32"/>
          <w:szCs w:val="24"/>
          <w:highlight w:val="white"/>
          <w:lang w:val="en-US" w:eastAsia="zh-CN"/>
        </w:rPr>
        <w:t>2021年度，本级及所属单位开支一般公共预算财政拨款的公务用车保有量为0辆。</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（3）公务接待费</w:t>
      </w:r>
      <w:r>
        <w:rPr>
          <w:rFonts w:hint="eastAsia" w:ascii="仿宋" w:hAnsi="仿宋" w:eastAsia="仿宋"/>
          <w:color w:val="000000"/>
          <w:sz w:val="32"/>
          <w:szCs w:val="24"/>
          <w:highlight w:val="white"/>
          <w:lang w:val="en-US"/>
        </w:rPr>
        <w:t>预算数为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万元，支出决算为0万元</w:t>
      </w:r>
      <w:r>
        <w:rPr>
          <w:rFonts w:hint="eastAsia" w:ascii="仿宋" w:hAnsi="仿宋" w:eastAsia="仿宋"/>
          <w:color w:val="000000"/>
          <w:sz w:val="32"/>
          <w:szCs w:val="24"/>
          <w:highlight w:val="white"/>
          <w:lang w:val="en-US" w:eastAsia="zh-CN"/>
        </w:rPr>
        <w:t>。</w:t>
      </w:r>
      <w:r>
        <w:rPr>
          <w:rFonts w:hint="eastAsia" w:ascii="仿宋" w:hAnsi="仿宋" w:eastAsia="仿宋"/>
          <w:color w:val="000000"/>
          <w:sz w:val="32"/>
          <w:szCs w:val="24"/>
          <w:highlight w:val="white"/>
          <w:lang w:val="en-US"/>
        </w:rPr>
        <w:t>国内公务接待</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人次。其中：</w:t>
      </w:r>
    </w:p>
    <w:p>
      <w:pPr>
        <w:spacing w:line="324" w:lineRule="auto"/>
        <w:ind w:firstLine="594"/>
        <w:rPr>
          <w:rFonts w:hint="eastAsia" w:ascii="仿宋" w:hAnsi="仿宋" w:eastAsia="仿宋"/>
          <w:color w:val="000000"/>
          <w:sz w:val="32"/>
          <w:szCs w:val="24"/>
          <w:highlight w:val="white"/>
          <w:lang w:val="en-US"/>
        </w:rPr>
      </w:pPr>
      <w:r>
        <w:rPr>
          <w:rFonts w:hint="eastAsia" w:ascii="仿宋" w:hAnsi="仿宋" w:eastAsia="仿宋"/>
          <w:b/>
          <w:bCs/>
          <w:color w:val="000000"/>
          <w:sz w:val="32"/>
          <w:szCs w:val="24"/>
          <w:highlight w:val="white"/>
          <w:lang w:val="en-US"/>
        </w:rPr>
        <w:t>外事接待</w:t>
      </w:r>
      <w:r>
        <w:rPr>
          <w:rFonts w:hint="eastAsia" w:ascii="仿宋" w:hAnsi="仿宋" w:eastAsia="仿宋"/>
          <w:color w:val="000000"/>
          <w:sz w:val="32"/>
          <w:szCs w:val="24"/>
          <w:highlight w:val="white"/>
          <w:lang w:val="en-US"/>
        </w:rPr>
        <w:t>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万元，主要用于接待</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人次。</w:t>
      </w:r>
    </w:p>
    <w:p>
      <w:pPr>
        <w:spacing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b/>
          <w:bCs/>
          <w:color w:val="000000"/>
          <w:sz w:val="32"/>
          <w:szCs w:val="24"/>
          <w:highlight w:val="white"/>
          <w:lang w:val="en-US"/>
        </w:rPr>
        <w:t>其他国内公务接待</w:t>
      </w:r>
      <w:r>
        <w:rPr>
          <w:rFonts w:hint="eastAsia" w:ascii="仿宋" w:hAnsi="仿宋" w:eastAsia="仿宋"/>
          <w:color w:val="000000"/>
          <w:sz w:val="32"/>
          <w:szCs w:val="24"/>
          <w:highlight w:val="white"/>
          <w:lang w:val="en-US"/>
        </w:rPr>
        <w:t>支出</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万元，主要用于</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接待</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批次，累计</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人次。</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楷体" w:hAnsi="楷体" w:eastAsia="楷体"/>
          <w:b/>
          <w:color w:val="000000"/>
          <w:sz w:val="32"/>
          <w:szCs w:val="24"/>
          <w:highlight w:val="white"/>
          <w:lang w:val="en-US"/>
        </w:rPr>
        <w:t>（十）机关运行经费支出说明</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lang w:val="en-US"/>
        </w:rPr>
        <w:t>2021年度机关运行经费年初预算数为</w:t>
      </w:r>
      <w:r>
        <w:rPr>
          <w:rFonts w:hint="eastAsia" w:ascii="仿宋" w:hAnsi="仿宋" w:eastAsia="仿宋"/>
          <w:color w:val="000000"/>
          <w:sz w:val="32"/>
          <w:szCs w:val="24"/>
          <w:lang w:val="en-US" w:eastAsia="zh-CN"/>
        </w:rPr>
        <w:t>31.92</w:t>
      </w:r>
      <w:r>
        <w:rPr>
          <w:rFonts w:hint="eastAsia" w:ascii="仿宋" w:hAnsi="仿宋" w:eastAsia="仿宋"/>
          <w:color w:val="000000"/>
          <w:sz w:val="32"/>
          <w:szCs w:val="24"/>
          <w:lang w:val="en-US"/>
        </w:rPr>
        <w:t>万元，支出决算为</w:t>
      </w:r>
      <w:r>
        <w:rPr>
          <w:rFonts w:hint="eastAsia" w:ascii="仿宋" w:hAnsi="仿宋" w:eastAsia="仿宋"/>
          <w:color w:val="auto"/>
          <w:kern w:val="0"/>
          <w:sz w:val="32"/>
          <w:szCs w:val="24"/>
          <w:lang w:val="en-US"/>
        </w:rPr>
        <w:t>15.8</w:t>
      </w:r>
      <w:r>
        <w:rPr>
          <w:rFonts w:hint="eastAsia" w:ascii="仿宋" w:hAnsi="仿宋" w:eastAsia="仿宋"/>
          <w:color w:val="000000"/>
          <w:sz w:val="32"/>
          <w:szCs w:val="24"/>
          <w:lang w:val="en-US"/>
        </w:rPr>
        <w:t>万元，完成年初预算的</w:t>
      </w:r>
      <w:r>
        <w:rPr>
          <w:rFonts w:hint="eastAsia" w:ascii="仿宋" w:hAnsi="仿宋" w:eastAsia="仿宋"/>
          <w:color w:val="000000"/>
          <w:sz w:val="32"/>
          <w:szCs w:val="24"/>
          <w:lang w:val="en-US" w:eastAsia="zh-CN"/>
        </w:rPr>
        <w:t>50</w:t>
      </w:r>
      <w:r>
        <w:rPr>
          <w:rFonts w:hint="eastAsia" w:ascii="仿宋" w:hAnsi="仿宋" w:eastAsia="仿宋"/>
          <w:color w:val="000000"/>
          <w:sz w:val="32"/>
          <w:szCs w:val="24"/>
          <w:lang w:val="en-US"/>
        </w:rPr>
        <w:t>%，决算数小于预算数的主要原因</w:t>
      </w:r>
      <w:r>
        <w:rPr>
          <w:rFonts w:hint="eastAsia" w:ascii="仿宋" w:hAnsi="仿宋" w:eastAsia="仿宋"/>
          <w:color w:val="000000"/>
          <w:sz w:val="32"/>
          <w:szCs w:val="24"/>
          <w:lang w:val="en-US" w:eastAsia="zh-CN"/>
        </w:rPr>
        <w:t>相关办公用品未采购、水电费节省等</w:t>
      </w:r>
      <w:r>
        <w:rPr>
          <w:rFonts w:hint="eastAsia" w:ascii="仿宋" w:hAnsi="仿宋" w:eastAsia="仿宋"/>
          <w:color w:val="000000"/>
          <w:sz w:val="32"/>
          <w:szCs w:val="24"/>
          <w:lang w:val="en-US"/>
        </w:rPr>
        <w:t>。</w:t>
      </w:r>
      <w:r>
        <w:rPr>
          <w:rFonts w:hint="eastAsia" w:ascii="仿宋" w:hAnsi="仿宋" w:eastAsia="仿宋"/>
          <w:color w:val="000000"/>
          <w:sz w:val="32"/>
          <w:szCs w:val="24"/>
          <w:highlight w:val="white"/>
        </w:rPr>
        <w:t>比2020年度</w:t>
      </w:r>
      <w:r>
        <w:rPr>
          <w:rFonts w:hint="eastAsia" w:ascii="仿宋" w:hAnsi="仿宋" w:eastAsia="仿宋"/>
          <w:color w:val="000000"/>
          <w:sz w:val="32"/>
          <w:szCs w:val="24"/>
          <w:highlight w:val="white"/>
          <w:lang w:eastAsia="zh-CN"/>
        </w:rPr>
        <w:t>减少</w:t>
      </w:r>
      <w:r>
        <w:rPr>
          <w:rFonts w:hint="eastAsia" w:ascii="仿宋" w:hAnsi="仿宋" w:eastAsia="仿宋"/>
          <w:color w:val="000000"/>
          <w:sz w:val="32"/>
          <w:szCs w:val="24"/>
          <w:highlight w:val="white"/>
          <w:lang w:val="en-US" w:eastAsia="zh-CN"/>
        </w:rPr>
        <w:t>0.43</w:t>
      </w:r>
      <w:r>
        <w:rPr>
          <w:rFonts w:hint="eastAsia" w:ascii="仿宋" w:hAnsi="仿宋" w:eastAsia="仿宋"/>
          <w:color w:val="000000"/>
          <w:sz w:val="32"/>
          <w:szCs w:val="24"/>
          <w:highlight w:val="white"/>
        </w:rPr>
        <w:t>万元，</w:t>
      </w:r>
      <w:r>
        <w:rPr>
          <w:rFonts w:hint="eastAsia" w:ascii="仿宋" w:hAnsi="仿宋" w:eastAsia="仿宋"/>
          <w:color w:val="000000"/>
          <w:sz w:val="32"/>
          <w:szCs w:val="24"/>
          <w:highlight w:val="white"/>
          <w:lang w:eastAsia="zh-CN"/>
        </w:rPr>
        <w:t>下降</w:t>
      </w:r>
      <w:r>
        <w:rPr>
          <w:rFonts w:hint="eastAsia" w:ascii="仿宋" w:hAnsi="仿宋" w:eastAsia="仿宋"/>
          <w:color w:val="000000"/>
          <w:sz w:val="32"/>
          <w:szCs w:val="24"/>
          <w:highlight w:val="white"/>
          <w:lang w:val="en-US" w:eastAsia="zh-CN"/>
        </w:rPr>
        <w:t>2.65</w:t>
      </w:r>
      <w:r>
        <w:rPr>
          <w:rFonts w:hint="eastAsia" w:ascii="仿宋" w:hAnsi="仿宋" w:eastAsia="仿宋"/>
          <w:color w:val="000000"/>
          <w:sz w:val="32"/>
          <w:szCs w:val="24"/>
          <w:highlight w:val="white"/>
        </w:rPr>
        <w:t>%，主要原因是</w:t>
      </w:r>
      <w:r>
        <w:rPr>
          <w:rFonts w:hint="eastAsia" w:ascii="仿宋" w:hAnsi="仿宋" w:eastAsia="仿宋"/>
          <w:color w:val="000000"/>
          <w:sz w:val="32"/>
          <w:szCs w:val="24"/>
          <w:highlight w:val="white"/>
          <w:lang w:eastAsia="zh-CN"/>
        </w:rPr>
        <w:t>厉行节约，减少了水电费的开支。</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（十一）政府采购支出说明</w:t>
      </w:r>
    </w:p>
    <w:p>
      <w:pPr>
        <w:spacing w:beforeLines="0" w:afterLines="0" w:line="324" w:lineRule="auto"/>
        <w:ind w:firstLine="594"/>
        <w:rPr>
          <w:rFonts w:hint="eastAsia" w:ascii="仿宋" w:hAnsi="仿宋" w:eastAsia="仿宋"/>
          <w:color w:val="auto"/>
          <w:sz w:val="32"/>
          <w:szCs w:val="24"/>
          <w:highlight w:val="white"/>
          <w:lang w:val="en-US"/>
        </w:rPr>
      </w:pPr>
      <w:r>
        <w:rPr>
          <w:rFonts w:hint="eastAsia" w:ascii="仿宋" w:hAnsi="仿宋" w:eastAsia="仿宋"/>
          <w:color w:val="000000"/>
          <w:sz w:val="32"/>
          <w:szCs w:val="24"/>
          <w:highlight w:val="white"/>
          <w:lang w:val="en-US"/>
        </w:rPr>
        <w:t>2021年度政府采购支出总额</w:t>
      </w:r>
      <w:r>
        <w:rPr>
          <w:rFonts w:hint="eastAsia" w:ascii="仿宋" w:hAnsi="仿宋" w:eastAsia="仿宋"/>
          <w:color w:val="auto"/>
          <w:kern w:val="0"/>
          <w:sz w:val="32"/>
          <w:szCs w:val="24"/>
          <w:highlight w:val="white"/>
          <w:lang w:val="en-US"/>
        </w:rPr>
        <w:t>3.09</w:t>
      </w:r>
      <w:r>
        <w:rPr>
          <w:rFonts w:hint="eastAsia" w:ascii="仿宋" w:hAnsi="仿宋" w:eastAsia="仿宋"/>
          <w:color w:val="000000"/>
          <w:sz w:val="32"/>
          <w:szCs w:val="24"/>
          <w:highlight w:val="white"/>
          <w:lang w:val="en-US"/>
        </w:rPr>
        <w:t>万元，其中：政府采购货物支出</w:t>
      </w:r>
      <w:r>
        <w:rPr>
          <w:rFonts w:hint="eastAsia" w:ascii="仿宋" w:hAnsi="仿宋" w:eastAsia="仿宋"/>
          <w:color w:val="auto"/>
          <w:kern w:val="0"/>
          <w:sz w:val="32"/>
          <w:szCs w:val="24"/>
          <w:highlight w:val="white"/>
          <w:lang w:val="en-US"/>
        </w:rPr>
        <w:t>3.09</w:t>
      </w:r>
      <w:r>
        <w:rPr>
          <w:rFonts w:hint="eastAsia" w:ascii="仿宋" w:hAnsi="仿宋" w:eastAsia="仿宋"/>
          <w:color w:val="000000"/>
          <w:sz w:val="32"/>
          <w:szCs w:val="24"/>
          <w:highlight w:val="white"/>
          <w:lang w:val="en-US"/>
        </w:rPr>
        <w:t>万元、政府采购工程支出</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万元、政府采购服务支出</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万元。</w:t>
      </w:r>
      <w:r>
        <w:rPr>
          <w:rFonts w:hint="eastAsia" w:ascii="仿宋" w:hAnsi="仿宋" w:eastAsia="仿宋"/>
          <w:color w:val="auto"/>
          <w:sz w:val="32"/>
          <w:szCs w:val="24"/>
          <w:highlight w:val="white"/>
          <w:lang w:val="en-US"/>
        </w:rPr>
        <w:t>授予中小企业合同金额</w:t>
      </w:r>
      <w:r>
        <w:rPr>
          <w:rFonts w:hint="eastAsia" w:ascii="仿宋" w:hAnsi="仿宋" w:eastAsia="仿宋"/>
          <w:color w:val="auto"/>
          <w:kern w:val="0"/>
          <w:sz w:val="32"/>
          <w:szCs w:val="24"/>
          <w:highlight w:val="white"/>
          <w:lang w:val="en-US"/>
        </w:rPr>
        <w:t>3.09</w:t>
      </w:r>
      <w:r>
        <w:rPr>
          <w:rFonts w:hint="eastAsia" w:ascii="仿宋" w:hAnsi="仿宋" w:eastAsia="仿宋"/>
          <w:color w:val="auto"/>
          <w:sz w:val="32"/>
          <w:szCs w:val="24"/>
          <w:highlight w:val="white"/>
          <w:lang w:val="en-US"/>
        </w:rPr>
        <w:t>万元，占政府采购支出总额的</w:t>
      </w:r>
      <w:r>
        <w:rPr>
          <w:rFonts w:hint="eastAsia" w:ascii="仿宋" w:hAnsi="仿宋" w:eastAsia="仿宋"/>
          <w:color w:val="auto"/>
          <w:kern w:val="0"/>
          <w:sz w:val="32"/>
          <w:szCs w:val="24"/>
          <w:highlight w:val="white"/>
          <w:lang w:val="en-US"/>
        </w:rPr>
        <w:t>100</w:t>
      </w:r>
      <w:r>
        <w:rPr>
          <w:rFonts w:hint="eastAsia" w:ascii="仿宋" w:hAnsi="仿宋" w:eastAsia="仿宋"/>
          <w:color w:val="auto"/>
          <w:sz w:val="32"/>
          <w:szCs w:val="24"/>
          <w:highlight w:val="white"/>
          <w:lang w:val="en-US"/>
        </w:rPr>
        <w:t>%。其中，授予小微企业合同金额</w:t>
      </w:r>
      <w:r>
        <w:rPr>
          <w:rFonts w:hint="eastAsia" w:ascii="仿宋" w:hAnsi="仿宋" w:eastAsia="仿宋"/>
          <w:color w:val="auto"/>
          <w:sz w:val="32"/>
          <w:szCs w:val="24"/>
          <w:highlight w:val="white"/>
          <w:lang w:val="en-US" w:eastAsia="zh-CN"/>
        </w:rPr>
        <w:t>3.09</w:t>
      </w:r>
      <w:r>
        <w:rPr>
          <w:rFonts w:hint="eastAsia" w:ascii="仿宋" w:hAnsi="仿宋" w:eastAsia="仿宋"/>
          <w:color w:val="auto"/>
          <w:sz w:val="32"/>
          <w:szCs w:val="24"/>
          <w:highlight w:val="white"/>
          <w:lang w:val="en-US"/>
        </w:rPr>
        <w:t>万元，占授予中小企业合同金额的100%；货物采购授予中小企业合同金额占货物支出金额的100%，工程采购授予中小企业合同金额占工程支出金额的100%，服务采购授予中小企业合同金额占服务支出金额的100%。</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楷体" w:hAnsi="楷体" w:eastAsia="楷体"/>
          <w:b/>
          <w:color w:val="000000"/>
          <w:sz w:val="32"/>
          <w:szCs w:val="24"/>
          <w:highlight w:val="white"/>
          <w:lang w:val="en-US"/>
        </w:rPr>
        <w:t>（十二）国有资产占有情况说明</w:t>
      </w:r>
    </w:p>
    <w:p>
      <w:pPr>
        <w:spacing w:beforeLines="0" w:afterLines="0" w:line="324" w:lineRule="auto"/>
        <w:ind w:firstLine="594"/>
        <w:rPr>
          <w:rFonts w:hint="eastAsia" w:ascii="楷体" w:hAnsi="楷体" w:eastAsia="楷体"/>
          <w:b/>
          <w:color w:val="000000"/>
          <w:sz w:val="32"/>
          <w:szCs w:val="24"/>
          <w:highlight w:val="white"/>
          <w:lang w:val="en-US"/>
        </w:rPr>
      </w:pPr>
      <w:r>
        <w:rPr>
          <w:rFonts w:hint="eastAsia" w:ascii="仿宋" w:hAnsi="仿宋" w:eastAsia="仿宋"/>
          <w:color w:val="000000"/>
          <w:sz w:val="32"/>
          <w:szCs w:val="24"/>
          <w:highlight w:val="white"/>
          <w:lang w:val="en-US"/>
        </w:rPr>
        <w:t>截至2021年12月31日，</w:t>
      </w:r>
      <w:r>
        <w:rPr>
          <w:rFonts w:hint="eastAsia" w:ascii="仿宋" w:hAnsi="仿宋" w:eastAsia="仿宋"/>
          <w:color w:val="000000"/>
          <w:sz w:val="32"/>
          <w:szCs w:val="24"/>
          <w:highlight w:val="white"/>
          <w:lang w:val="en-US" w:eastAsia="zh-CN"/>
        </w:rPr>
        <w:t>本单位</w:t>
      </w:r>
      <w:r>
        <w:rPr>
          <w:rFonts w:hint="eastAsia" w:ascii="仿宋" w:hAnsi="仿宋" w:eastAsia="仿宋"/>
          <w:color w:val="000000"/>
          <w:sz w:val="32"/>
          <w:szCs w:val="24"/>
          <w:highlight w:val="white"/>
          <w:lang w:val="en-US"/>
        </w:rPr>
        <w:t>共有车辆</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辆，其中，副部（省）级及以上领导用车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辆、主要领导干部用车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辆、机要通信用车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辆、应急保障用车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辆、执法执勤用车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辆、特种专业技术用车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辆、离退休干部用车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辆、其他用车</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辆；单价50万元以上通用设备</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台（套），单价100万元以上专用设备</w:t>
      </w:r>
      <w:r>
        <w:rPr>
          <w:rFonts w:hint="eastAsia" w:ascii="仿宋" w:hAnsi="仿宋" w:eastAsia="仿宋"/>
          <w:color w:val="auto"/>
          <w:kern w:val="0"/>
          <w:sz w:val="32"/>
          <w:szCs w:val="24"/>
          <w:highlight w:val="white"/>
          <w:lang w:val="en-US"/>
        </w:rPr>
        <w:t>0</w:t>
      </w:r>
      <w:r>
        <w:rPr>
          <w:rFonts w:hint="eastAsia" w:ascii="仿宋" w:hAnsi="仿宋" w:eastAsia="仿宋"/>
          <w:color w:val="000000"/>
          <w:sz w:val="32"/>
          <w:szCs w:val="24"/>
          <w:highlight w:val="white"/>
          <w:lang w:val="en-US"/>
        </w:rPr>
        <w:t>台（套）。</w:t>
      </w:r>
      <w:r>
        <w:rPr>
          <w:rFonts w:hint="eastAsia" w:ascii="仿宋_GB2312" w:hAnsi="仿宋_GB2312" w:eastAsia="仿宋_GB2312"/>
          <w:color w:val="000000"/>
          <w:sz w:val="32"/>
          <w:szCs w:val="24"/>
          <w:highlight w:val="white"/>
          <w:lang w:val="en-US"/>
        </w:rPr>
        <w:t xml:space="preserve"> </w:t>
      </w:r>
    </w:p>
    <w:p>
      <w:pPr>
        <w:spacing w:beforeLines="0" w:afterLines="0" w:line="324" w:lineRule="auto"/>
        <w:ind w:firstLine="594"/>
        <w:rPr>
          <w:rFonts w:hint="eastAsia" w:ascii="仿宋" w:hAnsi="仿宋" w:eastAsia="仿宋"/>
          <w:color w:val="000000"/>
          <w:sz w:val="32"/>
          <w:szCs w:val="24"/>
          <w:lang w:val="en-US"/>
        </w:rPr>
      </w:pPr>
      <w:r>
        <w:rPr>
          <w:rFonts w:hint="eastAsia" w:ascii="楷体" w:hAnsi="楷体" w:eastAsia="楷体"/>
          <w:b/>
          <w:color w:val="000000"/>
          <w:sz w:val="32"/>
          <w:szCs w:val="24"/>
          <w:lang w:val="en-US"/>
        </w:rPr>
        <w:t>（十三）预算绩效情况说明</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1.预算绩效管理工作开展情况。</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根据预算绩效管理要求，</w:t>
      </w:r>
      <w:r>
        <w:rPr>
          <w:rFonts w:hint="eastAsia" w:ascii="仿宋" w:hAnsi="仿宋" w:eastAsia="仿宋"/>
          <w:color w:val="000000"/>
          <w:sz w:val="32"/>
          <w:szCs w:val="24"/>
          <w:highlight w:val="white"/>
          <w:lang w:val="en-US" w:eastAsia="zh-CN"/>
        </w:rPr>
        <w:t>本单位</w:t>
      </w:r>
      <w:r>
        <w:rPr>
          <w:rFonts w:hint="eastAsia" w:ascii="仿宋" w:hAnsi="仿宋" w:eastAsia="仿宋"/>
          <w:color w:val="000000"/>
          <w:sz w:val="32"/>
          <w:szCs w:val="24"/>
          <w:highlight w:val="white"/>
          <w:lang w:val="en-US"/>
        </w:rPr>
        <w:t>对2021年度一般公共预算项目支出全面开展绩效自评，其中，一级项目</w:t>
      </w:r>
      <w:r>
        <w:rPr>
          <w:rFonts w:hint="eastAsia" w:ascii="仿宋" w:hAnsi="仿宋" w:eastAsia="仿宋"/>
          <w:color w:val="000000"/>
          <w:sz w:val="32"/>
          <w:szCs w:val="24"/>
          <w:highlight w:val="white"/>
          <w:lang w:val="en-US" w:eastAsia="zh-CN"/>
        </w:rPr>
        <w:t>0</w:t>
      </w:r>
      <w:r>
        <w:rPr>
          <w:rFonts w:hint="eastAsia" w:ascii="仿宋" w:hAnsi="仿宋" w:eastAsia="仿宋"/>
          <w:color w:val="000000"/>
          <w:sz w:val="32"/>
          <w:szCs w:val="24"/>
          <w:highlight w:val="white"/>
          <w:lang w:val="en-US"/>
        </w:rPr>
        <w:t>个，</w:t>
      </w:r>
      <w:r>
        <w:rPr>
          <w:rFonts w:hint="eastAsia" w:ascii="仿宋" w:hAnsi="仿宋" w:eastAsia="仿宋"/>
          <w:color w:val="000000"/>
          <w:sz w:val="32"/>
          <w:szCs w:val="24"/>
          <w:highlight w:val="white"/>
        </w:rPr>
        <w:t>二级项目</w:t>
      </w:r>
      <w:r>
        <w:rPr>
          <w:rFonts w:hint="eastAsia" w:ascii="仿宋" w:hAnsi="仿宋" w:eastAsia="仿宋"/>
          <w:color w:val="000000"/>
          <w:sz w:val="32"/>
          <w:szCs w:val="24"/>
          <w:highlight w:val="white"/>
          <w:lang w:val="en-US" w:eastAsia="zh-CN"/>
        </w:rPr>
        <w:t>1</w:t>
      </w:r>
      <w:r>
        <w:rPr>
          <w:rFonts w:hint="eastAsia" w:ascii="仿宋" w:hAnsi="仿宋" w:eastAsia="仿宋"/>
          <w:color w:val="000000"/>
          <w:sz w:val="32"/>
          <w:szCs w:val="24"/>
          <w:highlight w:val="white"/>
        </w:rPr>
        <w:t>个，</w:t>
      </w:r>
      <w:r>
        <w:rPr>
          <w:rFonts w:hint="eastAsia" w:ascii="仿宋" w:hAnsi="仿宋" w:eastAsia="仿宋"/>
          <w:color w:val="000000"/>
          <w:sz w:val="32"/>
          <w:szCs w:val="24"/>
          <w:highlight w:val="white"/>
          <w:lang w:val="en-US"/>
        </w:rPr>
        <w:t>共涉及资金</w:t>
      </w:r>
      <w:r>
        <w:rPr>
          <w:rFonts w:hint="eastAsia" w:ascii="仿宋" w:hAnsi="仿宋" w:eastAsia="仿宋"/>
          <w:color w:val="000000"/>
          <w:sz w:val="32"/>
          <w:szCs w:val="24"/>
          <w:highlight w:val="white"/>
          <w:lang w:val="en-US" w:eastAsia="zh-CN"/>
        </w:rPr>
        <w:t>93.34</w:t>
      </w:r>
      <w:r>
        <w:rPr>
          <w:rFonts w:hint="eastAsia" w:ascii="仿宋" w:hAnsi="仿宋" w:eastAsia="仿宋"/>
          <w:color w:val="000000"/>
          <w:sz w:val="32"/>
          <w:szCs w:val="24"/>
          <w:highlight w:val="white"/>
          <w:lang w:val="en-US"/>
        </w:rPr>
        <w:t>万元，占一般公共预算项目支出总额的</w:t>
      </w:r>
      <w:r>
        <w:rPr>
          <w:rFonts w:hint="eastAsia" w:ascii="仿宋" w:hAnsi="仿宋" w:eastAsia="仿宋"/>
          <w:color w:val="000000"/>
          <w:sz w:val="32"/>
          <w:szCs w:val="24"/>
          <w:highlight w:val="white"/>
          <w:lang w:val="en-US" w:eastAsia="zh-CN"/>
        </w:rPr>
        <w:t>100</w:t>
      </w:r>
      <w:r>
        <w:rPr>
          <w:rFonts w:hint="eastAsia" w:ascii="仿宋" w:hAnsi="仿宋" w:eastAsia="仿宋"/>
          <w:color w:val="000000"/>
          <w:sz w:val="32"/>
          <w:szCs w:val="24"/>
          <w:highlight w:val="white"/>
          <w:lang w:val="en-US"/>
        </w:rPr>
        <w:t>%。本年</w:t>
      </w:r>
      <w:r>
        <w:rPr>
          <w:rFonts w:hint="eastAsia" w:ascii="仿宋" w:hAnsi="仿宋" w:eastAsia="仿宋"/>
          <w:color w:val="000000"/>
          <w:sz w:val="32"/>
          <w:szCs w:val="24"/>
          <w:highlight w:val="white"/>
          <w:lang w:val="en-US" w:eastAsia="zh-CN"/>
        </w:rPr>
        <w:t>度</w:t>
      </w:r>
      <w:r>
        <w:rPr>
          <w:rFonts w:hint="eastAsia" w:ascii="仿宋" w:hAnsi="仿宋" w:eastAsia="仿宋"/>
          <w:color w:val="000000"/>
          <w:sz w:val="32"/>
          <w:szCs w:val="24"/>
          <w:highlight w:val="white"/>
          <w:lang w:val="en-US"/>
        </w:rPr>
        <w:t>无政府性基金预算项目</w:t>
      </w:r>
      <w:r>
        <w:rPr>
          <w:rFonts w:hint="eastAsia" w:ascii="仿宋" w:hAnsi="仿宋" w:eastAsia="仿宋"/>
          <w:color w:val="000000"/>
          <w:sz w:val="32"/>
          <w:szCs w:val="24"/>
          <w:highlight w:val="white"/>
          <w:lang w:val="en-US" w:eastAsia="zh-CN"/>
        </w:rPr>
        <w:t>，故未开展政府性基金预算项目支出绩效自评</w:t>
      </w:r>
      <w:r>
        <w:rPr>
          <w:rFonts w:hint="eastAsia" w:ascii="仿宋" w:hAnsi="仿宋" w:eastAsia="仿宋"/>
          <w:color w:val="000000"/>
          <w:sz w:val="32"/>
          <w:szCs w:val="24"/>
          <w:highlight w:val="white"/>
          <w:lang w:val="en-US"/>
        </w:rPr>
        <w:t>。本年无国有资本经营预算项目</w:t>
      </w:r>
      <w:r>
        <w:rPr>
          <w:rFonts w:hint="eastAsia" w:ascii="仿宋" w:hAnsi="仿宋" w:eastAsia="仿宋"/>
          <w:color w:val="000000"/>
          <w:sz w:val="32"/>
          <w:szCs w:val="24"/>
          <w:highlight w:val="white"/>
          <w:lang w:val="en-US" w:eastAsia="zh-CN"/>
        </w:rPr>
        <w:t>。</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eastAsia="zh-CN"/>
        </w:rPr>
        <w:t>本年无部门评价</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本年无部门整体支出绩效评价</w:t>
      </w:r>
    </w:p>
    <w:p>
      <w:pPr>
        <w:spacing w:beforeLines="0" w:afterLines="0" w:line="324" w:lineRule="auto"/>
        <w:ind w:firstLine="594"/>
        <w:rPr>
          <w:rFonts w:hint="eastAsia" w:ascii="仿宋" w:hAnsi="仿宋" w:eastAsia="仿宋"/>
          <w:color w:val="000000"/>
          <w:sz w:val="32"/>
          <w:szCs w:val="24"/>
          <w:highlight w:val="white"/>
          <w:lang w:val="en-US" w:eastAsia="zh-CN"/>
        </w:rPr>
      </w:pPr>
      <w:r>
        <w:rPr>
          <w:rFonts w:hint="eastAsia" w:ascii="仿宋" w:hAnsi="仿宋" w:eastAsia="仿宋"/>
          <w:color w:val="000000"/>
          <w:sz w:val="32"/>
          <w:szCs w:val="24"/>
          <w:highlight w:val="white"/>
          <w:lang w:val="en-US"/>
        </w:rPr>
        <w:t>本年无下属单位整体支出绩效评价</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b/>
          <w:color w:val="000000"/>
          <w:sz w:val="32"/>
          <w:szCs w:val="24"/>
          <w:highlight w:val="white"/>
          <w:lang w:val="en-US"/>
        </w:rPr>
        <w:t>2.本单位2021年度只有一个预算项目。</w:t>
      </w:r>
    </w:p>
    <w:p>
      <w:pPr>
        <w:spacing w:beforeLines="0" w:afterLines="0" w:line="324" w:lineRule="auto"/>
        <w:ind w:firstLine="594"/>
        <w:rPr>
          <w:rFonts w:hint="eastAsia" w:ascii="仿宋" w:hAnsi="仿宋" w:eastAsia="仿宋"/>
          <w:color w:val="000000"/>
          <w:sz w:val="32"/>
          <w:szCs w:val="24"/>
        </w:rPr>
      </w:pPr>
      <w:r>
        <w:rPr>
          <w:rFonts w:hint="eastAsia" w:ascii="仿宋" w:hAnsi="仿宋" w:eastAsia="仿宋"/>
          <w:color w:val="000000"/>
          <w:sz w:val="32"/>
          <w:szCs w:val="24"/>
        </w:rPr>
        <w:t>会计核算中心在202</w:t>
      </w:r>
      <w:r>
        <w:rPr>
          <w:rFonts w:hint="eastAsia" w:ascii="仿宋" w:hAnsi="仿宋" w:eastAsia="仿宋"/>
          <w:color w:val="000000"/>
          <w:sz w:val="32"/>
          <w:szCs w:val="24"/>
          <w:lang w:val="en-US" w:eastAsia="zh-CN"/>
        </w:rPr>
        <w:t>1</w:t>
      </w:r>
      <w:r>
        <w:rPr>
          <w:rFonts w:hint="eastAsia" w:ascii="仿宋" w:hAnsi="仿宋" w:eastAsia="仿宋"/>
          <w:color w:val="000000"/>
          <w:sz w:val="32"/>
          <w:szCs w:val="24"/>
        </w:rPr>
        <w:t>年度部门决算中反映</w:t>
      </w:r>
      <w:r>
        <w:rPr>
          <w:rFonts w:hint="eastAsia" w:ascii="仿宋" w:hAnsi="仿宋" w:eastAsia="仿宋"/>
          <w:color w:val="000000"/>
          <w:sz w:val="32"/>
          <w:szCs w:val="24"/>
          <w:lang w:val="en-US" w:eastAsia="zh-CN"/>
        </w:rPr>
        <w:t>核算中心业务事务支出</w:t>
      </w:r>
      <w:r>
        <w:rPr>
          <w:rFonts w:hint="eastAsia" w:ascii="仿宋" w:hAnsi="仿宋" w:eastAsia="仿宋"/>
          <w:color w:val="000000"/>
          <w:sz w:val="32"/>
          <w:szCs w:val="24"/>
        </w:rPr>
        <w:t>绩效自评结果。</w:t>
      </w:r>
    </w:p>
    <w:p>
      <w:pPr>
        <w:spacing w:beforeLines="0" w:afterLines="0" w:line="324" w:lineRule="auto"/>
        <w:ind w:firstLine="594"/>
        <w:rPr>
          <w:rFonts w:hint="eastAsia" w:ascii="仿宋" w:hAnsi="仿宋" w:eastAsia="仿宋"/>
          <w:color w:val="000000"/>
          <w:sz w:val="32"/>
          <w:szCs w:val="24"/>
          <w:lang w:val="en-US"/>
        </w:rPr>
      </w:pPr>
      <w:r>
        <w:rPr>
          <w:rFonts w:hint="eastAsia" w:ascii="仿宋" w:hAnsi="仿宋" w:eastAsia="仿宋"/>
          <w:color w:val="000000"/>
          <w:sz w:val="32"/>
          <w:szCs w:val="24"/>
        </w:rPr>
        <w:t>设备购置项目绩效自评综述：根据年初设定的绩效目标，项目自评得分</w:t>
      </w:r>
      <w:r>
        <w:rPr>
          <w:rFonts w:hint="eastAsia" w:ascii="仿宋" w:hAnsi="仿宋" w:eastAsia="仿宋"/>
          <w:color w:val="000000"/>
          <w:sz w:val="32"/>
          <w:szCs w:val="24"/>
          <w:lang w:val="en-US" w:eastAsia="zh-CN"/>
        </w:rPr>
        <w:t>93.33</w:t>
      </w:r>
      <w:r>
        <w:rPr>
          <w:rFonts w:hint="eastAsia" w:ascii="仿宋" w:hAnsi="仿宋" w:eastAsia="仿宋"/>
          <w:color w:val="000000"/>
          <w:sz w:val="32"/>
          <w:szCs w:val="24"/>
        </w:rPr>
        <w:t>分，自评结论为“</w:t>
      </w:r>
      <w:r>
        <w:rPr>
          <w:rFonts w:hint="eastAsia" w:ascii="仿宋" w:hAnsi="仿宋" w:eastAsia="仿宋"/>
          <w:color w:val="000000"/>
          <w:sz w:val="32"/>
          <w:szCs w:val="24"/>
          <w:lang w:val="en-US" w:eastAsia="zh-CN"/>
        </w:rPr>
        <w:t>良</w:t>
      </w:r>
      <w:r>
        <w:rPr>
          <w:rFonts w:hint="eastAsia" w:ascii="仿宋" w:hAnsi="仿宋" w:eastAsia="仿宋"/>
          <w:color w:val="000000"/>
          <w:sz w:val="32"/>
          <w:szCs w:val="24"/>
        </w:rPr>
        <w:t>”。项目全年预算数为</w:t>
      </w:r>
      <w:r>
        <w:rPr>
          <w:rFonts w:hint="eastAsia" w:ascii="仿宋" w:hAnsi="仿宋" w:eastAsia="仿宋"/>
          <w:color w:val="000000"/>
          <w:sz w:val="32"/>
          <w:szCs w:val="24"/>
          <w:lang w:val="en-US" w:eastAsia="zh-CN"/>
        </w:rPr>
        <w:t>71.15</w:t>
      </w:r>
      <w:r>
        <w:rPr>
          <w:rFonts w:hint="eastAsia" w:ascii="仿宋" w:hAnsi="仿宋" w:eastAsia="仿宋"/>
          <w:color w:val="000000"/>
          <w:sz w:val="32"/>
          <w:szCs w:val="24"/>
        </w:rPr>
        <w:t>万元，执行数为</w:t>
      </w:r>
      <w:r>
        <w:rPr>
          <w:rFonts w:hint="eastAsia" w:ascii="仿宋" w:hAnsi="仿宋" w:eastAsia="仿宋"/>
          <w:color w:val="000000"/>
          <w:sz w:val="32"/>
          <w:szCs w:val="24"/>
          <w:lang w:val="en-US" w:eastAsia="zh-CN"/>
        </w:rPr>
        <w:t>47.12</w:t>
      </w:r>
      <w:r>
        <w:rPr>
          <w:rFonts w:hint="eastAsia" w:ascii="仿宋" w:hAnsi="仿宋" w:eastAsia="仿宋"/>
          <w:color w:val="000000"/>
          <w:sz w:val="32"/>
          <w:szCs w:val="24"/>
        </w:rPr>
        <w:t>万元，完成预算的</w:t>
      </w:r>
      <w:r>
        <w:rPr>
          <w:rFonts w:hint="eastAsia" w:ascii="仿宋" w:hAnsi="仿宋" w:eastAsia="仿宋"/>
          <w:color w:val="000000"/>
          <w:sz w:val="32"/>
          <w:szCs w:val="24"/>
          <w:lang w:val="en-US" w:eastAsia="zh-CN"/>
        </w:rPr>
        <w:t>66.22</w:t>
      </w:r>
      <w:r>
        <w:rPr>
          <w:rFonts w:hint="eastAsia" w:ascii="仿宋" w:hAnsi="仿宋" w:eastAsia="仿宋"/>
          <w:color w:val="000000"/>
          <w:sz w:val="32"/>
          <w:szCs w:val="24"/>
        </w:rPr>
        <w:t>%。项目绩效目标完成情况：基本完成目标。发现的问题及原因：执行率未达到90%以上，原因是单位要求厉行节俭</w:t>
      </w:r>
      <w:r>
        <w:rPr>
          <w:rFonts w:hint="eastAsia" w:ascii="仿宋" w:hAnsi="仿宋" w:eastAsia="仿宋"/>
          <w:color w:val="000000"/>
          <w:sz w:val="32"/>
          <w:szCs w:val="24"/>
          <w:lang w:eastAsia="zh-CN"/>
        </w:rPr>
        <w:t>，</w:t>
      </w:r>
      <w:r>
        <w:rPr>
          <w:rFonts w:hint="eastAsia" w:ascii="仿宋" w:hAnsi="仿宋" w:eastAsia="仿宋"/>
          <w:color w:val="000000"/>
          <w:sz w:val="32"/>
          <w:szCs w:val="24"/>
          <w:lang w:val="en-US" w:eastAsia="zh-CN"/>
        </w:rPr>
        <w:t>相关设备更新购置未发生</w:t>
      </w:r>
      <w:r>
        <w:rPr>
          <w:rFonts w:hint="eastAsia" w:ascii="仿宋" w:hAnsi="仿宋" w:eastAsia="仿宋"/>
          <w:color w:val="000000"/>
          <w:sz w:val="32"/>
          <w:szCs w:val="24"/>
        </w:rPr>
        <w:t>。下一步改进措施：预算编制需要更精准。</w:t>
      </w:r>
    </w:p>
    <w:p>
      <w:pPr>
        <w:spacing w:beforeLines="0" w:afterLines="0" w:line="324" w:lineRule="auto"/>
        <w:ind w:firstLine="594"/>
        <w:rPr>
          <w:rFonts w:hint="eastAsia" w:ascii="仿宋" w:hAnsi="仿宋" w:eastAsia="仿宋"/>
          <w:b/>
          <w:color w:val="000000"/>
          <w:sz w:val="32"/>
          <w:szCs w:val="24"/>
          <w:lang w:val="en-US"/>
        </w:rPr>
      </w:pPr>
      <w:r>
        <w:rPr>
          <w:rFonts w:hint="eastAsia" w:ascii="仿宋" w:hAnsi="仿宋" w:eastAsia="仿宋"/>
          <w:b/>
          <w:color w:val="000000"/>
          <w:sz w:val="32"/>
          <w:szCs w:val="24"/>
          <w:lang w:val="en-US"/>
        </w:rPr>
        <w:t>3.财政评价项目绩效评价结果。</w:t>
      </w:r>
    </w:p>
    <w:p>
      <w:pPr>
        <w:spacing w:beforeLines="0" w:afterLines="0" w:line="324" w:lineRule="auto"/>
        <w:ind w:firstLine="594"/>
        <w:rPr>
          <w:rFonts w:hint="eastAsia" w:ascii="仿宋" w:hAnsi="仿宋" w:eastAsia="仿宋"/>
          <w:b/>
          <w:color w:val="000000"/>
          <w:sz w:val="32"/>
          <w:szCs w:val="24"/>
          <w:lang w:val="en-US"/>
        </w:rPr>
      </w:pPr>
      <w:r>
        <w:rPr>
          <w:rFonts w:hint="eastAsia" w:ascii="仿宋" w:hAnsi="仿宋" w:eastAsia="仿宋"/>
          <w:b/>
          <w:color w:val="000000"/>
          <w:sz w:val="32"/>
          <w:szCs w:val="24"/>
          <w:lang w:val="en-US"/>
        </w:rPr>
        <w:t>无。</w:t>
      </w:r>
    </w:p>
    <w:p>
      <w:pPr>
        <w:spacing w:beforeLines="0" w:afterLines="0"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4.部门评价项目绩效评价结果。</w:t>
      </w:r>
    </w:p>
    <w:p>
      <w:pPr>
        <w:spacing w:beforeLines="0" w:afterLines="0" w:line="324" w:lineRule="auto"/>
        <w:ind w:firstLine="594"/>
        <w:rPr>
          <w:rFonts w:hint="eastAsia" w:ascii="仿宋" w:hAnsi="仿宋" w:eastAsia="仿宋"/>
          <w:b/>
          <w:color w:val="000000"/>
          <w:sz w:val="32"/>
          <w:szCs w:val="24"/>
          <w:highlight w:val="white"/>
          <w:lang w:val="en-US"/>
        </w:rPr>
      </w:pPr>
      <w:r>
        <w:rPr>
          <w:rFonts w:hint="eastAsia" w:ascii="仿宋" w:hAnsi="仿宋" w:eastAsia="仿宋"/>
          <w:b/>
          <w:color w:val="000000"/>
          <w:sz w:val="32"/>
          <w:szCs w:val="24"/>
          <w:highlight w:val="white"/>
          <w:lang w:val="en-US"/>
        </w:rPr>
        <w:t>无。</w:t>
      </w: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rPr>
          <w:rFonts w:hint="eastAsia" w:ascii="仿宋" w:hAnsi="仿宋" w:eastAsia="仿宋"/>
          <w:b/>
          <w:color w:val="000000"/>
          <w:sz w:val="32"/>
          <w:szCs w:val="24"/>
          <w:highlight w:val="white"/>
          <w:lang w:val="en-US"/>
        </w:rPr>
      </w:pPr>
    </w:p>
    <w:p>
      <w:pPr>
        <w:pStyle w:val="6"/>
        <w:spacing w:beforeLines="0" w:afterLines="0"/>
        <w:rPr>
          <w:rFonts w:hint="eastAsia" w:ascii="仿宋" w:hAnsi="仿宋" w:eastAsia="仿宋"/>
          <w:b/>
          <w:sz w:val="32"/>
          <w:szCs w:val="24"/>
          <w:highlight w:val="white"/>
        </w:rPr>
      </w:pPr>
    </w:p>
    <w:p>
      <w:pPr>
        <w:pStyle w:val="6"/>
        <w:spacing w:beforeLines="0" w:afterLines="0"/>
        <w:jc w:val="center"/>
        <w:rPr>
          <w:rFonts w:hint="eastAsia" w:ascii="仿宋" w:hAnsi="仿宋" w:eastAsia="仿宋"/>
          <w:sz w:val="32"/>
          <w:szCs w:val="24"/>
          <w:highlight w:val="white"/>
        </w:rPr>
      </w:pPr>
      <w:r>
        <w:rPr>
          <w:rFonts w:hint="eastAsia" w:ascii="仿宋" w:hAnsi="仿宋" w:eastAsia="仿宋"/>
          <w:sz w:val="32"/>
          <w:szCs w:val="24"/>
          <w:highlight w:val="white"/>
        </w:rPr>
        <w:t>项目支出绩效自评表</w:t>
      </w:r>
    </w:p>
    <w:p>
      <w:pPr>
        <w:pStyle w:val="6"/>
        <w:spacing w:beforeLines="0" w:afterLines="0"/>
        <w:jc w:val="center"/>
        <w:rPr>
          <w:rFonts w:hint="eastAsia" w:ascii="仿宋" w:hAnsi="仿宋" w:eastAsia="仿宋"/>
          <w:sz w:val="24"/>
          <w:szCs w:val="24"/>
          <w:highlight w:val="white"/>
        </w:rPr>
      </w:pPr>
    </w:p>
    <w:p>
      <w:pPr>
        <w:pStyle w:val="6"/>
        <w:spacing w:beforeLines="0" w:afterLines="0"/>
        <w:jc w:val="center"/>
        <w:rPr>
          <w:rFonts w:hint="eastAsia" w:ascii="仿宋" w:hAnsi="仿宋" w:eastAsia="仿宋"/>
          <w:b/>
          <w:sz w:val="24"/>
          <w:szCs w:val="24"/>
          <w:highlight w:val="white"/>
        </w:rPr>
      </w:pPr>
      <w:r>
        <w:rPr>
          <w:rFonts w:hint="eastAsia" w:ascii="仿宋" w:hAnsi="仿宋" w:eastAsia="仿宋"/>
          <w:sz w:val="24"/>
          <w:szCs w:val="24"/>
          <w:highlight w:val="white"/>
        </w:rPr>
        <w:t>（2021年度）</w:t>
      </w:r>
    </w:p>
    <w:p>
      <w:pPr>
        <w:pStyle w:val="6"/>
        <w:spacing w:beforeLines="0" w:afterLines="0"/>
        <w:rPr>
          <w:rFonts w:hint="eastAsia" w:ascii="仿宋" w:hAnsi="仿宋" w:eastAsia="仿宋"/>
          <w:b/>
          <w:sz w:val="32"/>
          <w:szCs w:val="24"/>
          <w:highlight w:val="white"/>
        </w:rPr>
      </w:pPr>
      <w:r>
        <w:rPr>
          <w:rFonts w:hint="default" w:ascii="仿宋" w:hAnsi="仿宋" w:eastAsia="仿宋"/>
          <w:b/>
          <w:sz w:val="32"/>
          <w:szCs w:val="24"/>
          <w:highlight w:val="white"/>
        </w:rPr>
        <w:drawing>
          <wp:inline distT="0" distB="0" distL="114300" distR="114300">
            <wp:extent cx="5506720" cy="5607685"/>
            <wp:effectExtent l="0" t="0" r="0" b="0"/>
            <wp:docPr id="1" name="图片 1" descr="A9388084-5F9E-40a8-9446-49462F6AC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388084-5F9E-40a8-9446-49462F6ACF2E"/>
                    <pic:cNvPicPr>
                      <a:picLocks noChangeAspect="1"/>
                    </pic:cNvPicPr>
                  </pic:nvPicPr>
                  <pic:blipFill>
                    <a:blip r:embed="rId7"/>
                    <a:stretch>
                      <a:fillRect/>
                    </a:stretch>
                  </pic:blipFill>
                  <pic:spPr>
                    <a:xfrm>
                      <a:off x="0" y="0"/>
                      <a:ext cx="5506720" cy="5607685"/>
                    </a:xfrm>
                    <a:prstGeom prst="rect">
                      <a:avLst/>
                    </a:prstGeom>
                    <a:noFill/>
                    <a:ln>
                      <a:noFill/>
                    </a:ln>
                  </pic:spPr>
                </pic:pic>
              </a:graphicData>
            </a:graphic>
          </wp:inline>
        </w:drawing>
      </w:r>
    </w:p>
    <w:p>
      <w:pPr>
        <w:pStyle w:val="6"/>
        <w:spacing w:beforeLines="0" w:afterLines="0"/>
        <w:rPr>
          <w:rFonts w:hint="eastAsia" w:ascii="仿宋" w:hAnsi="仿宋" w:eastAsia="仿宋"/>
          <w:b/>
          <w:sz w:val="32"/>
          <w:szCs w:val="24"/>
          <w:highlight w:val="white"/>
        </w:rPr>
      </w:pPr>
    </w:p>
    <w:p>
      <w:pPr>
        <w:spacing w:beforeLines="0" w:afterLines="0" w:line="324" w:lineRule="auto"/>
        <w:ind w:firstLine="600"/>
        <w:rPr>
          <w:rFonts w:hint="default" w:eastAsia="Times New Roman"/>
          <w:b/>
          <w:color w:val="000000"/>
          <w:sz w:val="32"/>
          <w:szCs w:val="24"/>
          <w:highlight w:val="white"/>
          <w:lang w:val="en-US"/>
        </w:rPr>
      </w:pPr>
      <w:r>
        <w:rPr>
          <w:rFonts w:hint="eastAsia" w:ascii="黑体" w:hAnsi="黑体" w:eastAsia="黑体"/>
          <w:b/>
          <w:color w:val="000000"/>
          <w:sz w:val="32"/>
          <w:szCs w:val="24"/>
          <w:highlight w:val="white"/>
          <w:lang w:val="en-US"/>
        </w:rPr>
        <w:t>四、名词解释</w:t>
      </w:r>
    </w:p>
    <w:p>
      <w:pPr>
        <w:spacing w:beforeLines="0" w:afterLines="0" w:line="324" w:lineRule="auto"/>
        <w:ind w:firstLine="594"/>
        <w:rPr>
          <w:rFonts w:hint="eastAsia" w:ascii="仿宋" w:hAnsi="仿宋" w:eastAsia="仿宋"/>
          <w:color w:val="000000"/>
          <w:sz w:val="32"/>
          <w:szCs w:val="24"/>
          <w:highlight w:val="white"/>
          <w:lang w:val="zh-CN"/>
        </w:rPr>
      </w:pPr>
      <w:r>
        <w:rPr>
          <w:rFonts w:hint="eastAsia" w:ascii="仿宋" w:hAnsi="仿宋" w:eastAsia="仿宋"/>
          <w:color w:val="000000"/>
          <w:sz w:val="32"/>
          <w:szCs w:val="24"/>
          <w:highlight w:val="white"/>
          <w:lang w:val="zh-CN"/>
        </w:rPr>
        <w:t>1.财政拨款收入：指本级财政部门当年拨付的财政预算资金，包括一般公共预算财政拨款、政府性基金预算财政拨款和国有资本经营预算财政拨款。</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zh-CN"/>
        </w:rPr>
        <w:t>2.事业收入：指事业单位开展专业业务活动及辅助活动所取得的收入。</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3.经营收入：指事业单位在专业业务活动及辅助活动之外开展非独立核算经营活动取得的收入。</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4.上级补助收入：指事业单位从主管部门和上级单位取得的非财政补助收入。</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5.附属单位上缴收入：指事业单位附属独立核算单位按照有关规定上缴的收入。</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6.其他收入：指预算单位在“财政拨款”、“事业收入”、“经营收入”、“上级补助收入”、“附属单位上缴收入”等之外取得的各项收入。</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7.使用非财政拨款结余：指事业单位使用以前年度积累的非财政拨款结余弥补当年收支差额的金额。</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8.年初结转和结余：指预算单位以前年度尚未完成、结转到本年仍按原规定用途继续使用的资金。</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9.年末结转和结余：指单位按有关规定结转到下年或以后年度继续使用的资金。</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10.基本支出：指预算单位为保障其正常运转，完成日常工作任务所发生的支出，包括人员经费支出和日常公用经费支出。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11.项目支出：指预算单位为完成其特定的行政工作任务或事业发展目标所发生的支出。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12.上缴上级支出：填列事业单位按照财政部门和主管部门的规定上缴上级单位的支出。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13.经营支出：指事业单位在专业业务活动及其辅助活动之外开展非独立核算经营活动发生的支出。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14.附属单位补助支出：填列事业单位用财政补助收入之外的收入对附属单位补助发生的支出。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32"/>
          <w:szCs w:val="24"/>
          <w:highlight w:val="white"/>
          <w:lang w:val="en-US"/>
        </w:rPr>
      </w:pPr>
      <w:r>
        <w:rPr>
          <w:rFonts w:hint="eastAsia" w:ascii="仿宋" w:hAnsi="仿宋" w:eastAsia="仿宋"/>
          <w:color w:val="000000"/>
          <w:sz w:val="32"/>
          <w:szCs w:val="24"/>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beforeLines="0" w:afterLines="0" w:line="560" w:lineRule="exact"/>
        <w:ind w:firstLine="640" w:firstLineChars="200"/>
        <w:jc w:val="left"/>
        <w:rPr>
          <w:rFonts w:hint="eastAsia" w:ascii="仿宋_GB2312" w:hAnsi="仿宋_GB2312" w:eastAsia="仿宋_GB2312"/>
          <w:sz w:val="32"/>
          <w:szCs w:val="24"/>
        </w:rPr>
      </w:pPr>
      <w:r>
        <w:rPr>
          <w:rFonts w:hint="eastAsia" w:ascii="仿宋" w:hAnsi="仿宋" w:eastAsia="仿宋"/>
          <w:color w:val="000000"/>
          <w:sz w:val="32"/>
          <w:szCs w:val="24"/>
          <w:highlight w:val="white"/>
          <w:lang w:val="en-US"/>
        </w:rPr>
        <w:t>17.</w:t>
      </w:r>
      <w:r>
        <w:rPr>
          <w:rFonts w:hint="eastAsia" w:ascii="仿宋" w:hAnsi="仿宋" w:eastAsia="仿宋"/>
          <w:color w:val="000000"/>
          <w:sz w:val="32"/>
          <w:szCs w:val="24"/>
          <w:highlight w:val="white"/>
          <w:lang w:val="en-US" w:eastAsia="zh-CN"/>
        </w:rPr>
        <w:t>一般公共服务支出（类）财政事务</w:t>
      </w:r>
      <w:r>
        <w:rPr>
          <w:rFonts w:hint="eastAsia" w:ascii="仿宋" w:hAnsi="仿宋" w:eastAsia="仿宋"/>
          <w:color w:val="000000"/>
          <w:sz w:val="28"/>
          <w:szCs w:val="24"/>
          <w:highlight w:val="white"/>
          <w:lang w:val="en-US"/>
        </w:rPr>
        <w:t>（款）</w:t>
      </w:r>
      <w:r>
        <w:rPr>
          <w:rFonts w:hint="eastAsia" w:ascii="仿宋" w:hAnsi="仿宋" w:eastAsia="仿宋"/>
          <w:color w:val="000000"/>
          <w:sz w:val="28"/>
          <w:szCs w:val="24"/>
          <w:highlight w:val="white"/>
          <w:lang w:val="en-US" w:eastAsia="zh-CN"/>
        </w:rPr>
        <w:t>行政运行</w:t>
      </w:r>
      <w:r>
        <w:rPr>
          <w:rFonts w:hint="eastAsia" w:ascii="仿宋" w:hAnsi="仿宋" w:eastAsia="仿宋"/>
          <w:color w:val="000000"/>
          <w:sz w:val="28"/>
          <w:szCs w:val="24"/>
          <w:highlight w:val="white"/>
          <w:lang w:val="en-US"/>
        </w:rPr>
        <w:t>（项）</w:t>
      </w:r>
      <w:r>
        <w:rPr>
          <w:rFonts w:hint="eastAsia" w:ascii="仿宋" w:hAnsi="仿宋" w:eastAsia="仿宋"/>
          <w:color w:val="000000"/>
          <w:sz w:val="32"/>
          <w:szCs w:val="24"/>
          <w:highlight w:val="white"/>
          <w:lang w:val="en-US"/>
        </w:rPr>
        <w:t>：指</w:t>
      </w:r>
      <w:r>
        <w:rPr>
          <w:rFonts w:hint="eastAsia" w:ascii="仿宋_GB2312" w:hAnsi="仿宋_GB2312" w:eastAsia="仿宋_GB2312"/>
          <w:sz w:val="32"/>
          <w:szCs w:val="24"/>
        </w:rPr>
        <w:t>行政运行，反映行政单位（包括实行公务员管理的事业单位）的基本支出。</w:t>
      </w:r>
    </w:p>
    <w:p>
      <w:pPr>
        <w:snapToGrid w:val="0"/>
        <w:spacing w:beforeLines="0" w:afterLines="0" w:line="560" w:lineRule="exact"/>
        <w:ind w:firstLine="640" w:firstLineChars="200"/>
        <w:jc w:val="left"/>
        <w:rPr>
          <w:rFonts w:hint="eastAsia" w:ascii="仿宋_GB2312" w:hAnsi="仿宋_GB2312" w:eastAsia="仿宋_GB2312"/>
          <w:sz w:val="32"/>
          <w:szCs w:val="24"/>
        </w:rPr>
      </w:pPr>
      <w:r>
        <w:rPr>
          <w:rFonts w:hint="eastAsia" w:ascii="仿宋" w:hAnsi="仿宋" w:eastAsia="仿宋"/>
          <w:color w:val="000000"/>
          <w:sz w:val="32"/>
          <w:szCs w:val="24"/>
          <w:highlight w:val="white"/>
          <w:lang w:val="en-US"/>
        </w:rPr>
        <w:t>18.</w:t>
      </w:r>
      <w:r>
        <w:rPr>
          <w:rFonts w:hint="eastAsia" w:ascii="仿宋" w:hAnsi="仿宋" w:eastAsia="仿宋"/>
          <w:color w:val="000000"/>
          <w:sz w:val="32"/>
          <w:szCs w:val="24"/>
          <w:highlight w:val="white"/>
          <w:lang w:val="en-US" w:eastAsia="zh-CN"/>
        </w:rPr>
        <w:t>一般公共服务支出（类）财政事务（款）一</w:t>
      </w:r>
      <w:r>
        <w:rPr>
          <w:rFonts w:hint="eastAsia" w:ascii="仿宋" w:hAnsi="仿宋" w:eastAsia="仿宋"/>
          <w:color w:val="000000"/>
          <w:sz w:val="32"/>
          <w:szCs w:val="24"/>
          <w:highlight w:val="white"/>
          <w:lang w:val="en-US"/>
        </w:rPr>
        <w:t>般行政管理事务</w:t>
      </w:r>
      <w:r>
        <w:rPr>
          <w:rFonts w:hint="eastAsia" w:ascii="仿宋" w:hAnsi="仿宋" w:eastAsia="仿宋"/>
          <w:color w:val="000000"/>
          <w:sz w:val="28"/>
          <w:szCs w:val="24"/>
          <w:highlight w:val="white"/>
          <w:lang w:val="en-US"/>
        </w:rPr>
        <w:t>（项</w:t>
      </w:r>
      <w:r>
        <w:rPr>
          <w:rFonts w:hint="eastAsia" w:ascii="仿宋" w:hAnsi="仿宋" w:eastAsia="仿宋"/>
          <w:color w:val="000000"/>
          <w:sz w:val="28"/>
          <w:szCs w:val="24"/>
          <w:highlight w:val="white"/>
          <w:lang w:val="en-US" w:eastAsia="zh-CN"/>
        </w:rPr>
        <w:t>）</w:t>
      </w:r>
      <w:r>
        <w:rPr>
          <w:rFonts w:hint="eastAsia" w:ascii="仿宋" w:hAnsi="仿宋" w:eastAsia="仿宋"/>
          <w:color w:val="000000"/>
          <w:sz w:val="32"/>
          <w:szCs w:val="24"/>
          <w:highlight w:val="white"/>
          <w:lang w:val="en-US"/>
        </w:rPr>
        <w:t>：指</w:t>
      </w:r>
      <w:r>
        <w:rPr>
          <w:rFonts w:hint="eastAsia" w:ascii="仿宋_GB2312" w:hAnsi="仿宋_GB2312" w:eastAsia="仿宋_GB2312"/>
          <w:sz w:val="32"/>
          <w:szCs w:val="24"/>
          <w:lang w:val="en-US" w:eastAsia="zh-CN"/>
        </w:rPr>
        <w:t>一般行政管理事务</w:t>
      </w:r>
      <w:r>
        <w:rPr>
          <w:rFonts w:hint="eastAsia" w:ascii="仿宋_GB2312" w:hAnsi="仿宋_GB2312" w:eastAsia="仿宋_GB2312"/>
          <w:sz w:val="32"/>
          <w:szCs w:val="24"/>
        </w:rPr>
        <w:t>，反映除行政单位（包括实行公务员管理的事业单位）</w:t>
      </w:r>
      <w:r>
        <w:rPr>
          <w:rFonts w:hint="eastAsia" w:ascii="仿宋_GB2312" w:hAnsi="仿宋_GB2312" w:eastAsia="仿宋_GB2312"/>
          <w:sz w:val="32"/>
          <w:szCs w:val="24"/>
          <w:lang w:val="en-US" w:eastAsia="zh-CN"/>
        </w:rPr>
        <w:t>未单独设置项级科目的其他项目</w:t>
      </w:r>
      <w:r>
        <w:rPr>
          <w:rFonts w:hint="eastAsia" w:ascii="仿宋_GB2312" w:hAnsi="仿宋_GB2312" w:eastAsia="仿宋_GB2312"/>
          <w:sz w:val="32"/>
          <w:szCs w:val="24"/>
        </w:rPr>
        <w:t>支出。</w:t>
      </w:r>
    </w:p>
    <w:p>
      <w:pPr>
        <w:spacing w:beforeLines="0" w:afterLines="0" w:line="324" w:lineRule="auto"/>
        <w:ind w:firstLine="594"/>
        <w:rPr>
          <w:rFonts w:hint="eastAsia" w:ascii="仿宋_GB2312" w:hAnsi="仿宋_GB2312" w:eastAsia="仿宋_GB2312"/>
          <w:sz w:val="32"/>
          <w:szCs w:val="24"/>
        </w:rPr>
      </w:pPr>
      <w:r>
        <w:rPr>
          <w:rFonts w:hint="eastAsia" w:ascii="仿宋" w:hAnsi="仿宋" w:eastAsia="仿宋"/>
          <w:color w:val="000000"/>
          <w:sz w:val="32"/>
          <w:szCs w:val="24"/>
          <w:highlight w:val="white"/>
          <w:lang w:val="en-US"/>
        </w:rPr>
        <w:t>19.</w:t>
      </w:r>
      <w:r>
        <w:rPr>
          <w:rFonts w:hint="eastAsia" w:ascii="仿宋" w:hAnsi="仿宋" w:eastAsia="仿宋"/>
          <w:color w:val="000000"/>
          <w:sz w:val="32"/>
          <w:szCs w:val="24"/>
          <w:highlight w:val="white"/>
          <w:lang w:val="en-US" w:eastAsia="zh-CN"/>
        </w:rPr>
        <w:t>卫生健康支出（类）行政事业单位医疗</w:t>
      </w:r>
      <w:r>
        <w:rPr>
          <w:rFonts w:hint="eastAsia" w:ascii="仿宋" w:hAnsi="仿宋" w:eastAsia="仿宋"/>
          <w:color w:val="000000"/>
          <w:sz w:val="28"/>
          <w:szCs w:val="24"/>
          <w:highlight w:val="white"/>
          <w:lang w:val="en-US"/>
        </w:rPr>
        <w:t>（款）</w:t>
      </w:r>
      <w:r>
        <w:rPr>
          <w:rFonts w:hint="eastAsia" w:ascii="仿宋" w:hAnsi="仿宋" w:eastAsia="仿宋"/>
          <w:color w:val="000000"/>
          <w:sz w:val="32"/>
          <w:szCs w:val="24"/>
          <w:highlight w:val="white"/>
          <w:lang w:val="en-US"/>
        </w:rPr>
        <w:t>行政单位医疗</w:t>
      </w:r>
      <w:r>
        <w:rPr>
          <w:rFonts w:hint="eastAsia" w:ascii="仿宋" w:hAnsi="仿宋" w:eastAsia="仿宋"/>
          <w:color w:val="000000"/>
          <w:sz w:val="28"/>
          <w:szCs w:val="24"/>
          <w:highlight w:val="white"/>
          <w:lang w:val="en-US"/>
        </w:rPr>
        <w:t>（项）</w:t>
      </w:r>
      <w:r>
        <w:rPr>
          <w:rFonts w:hint="eastAsia" w:ascii="仿宋" w:hAnsi="仿宋" w:eastAsia="仿宋"/>
          <w:color w:val="000000"/>
          <w:sz w:val="32"/>
          <w:szCs w:val="24"/>
          <w:highlight w:val="white"/>
          <w:lang w:val="en-US"/>
        </w:rPr>
        <w:t>：指</w:t>
      </w:r>
      <w:r>
        <w:rPr>
          <w:rFonts w:hint="eastAsia" w:ascii="仿宋_GB2312" w:hAnsi="仿宋_GB2312" w:eastAsia="仿宋_GB2312"/>
          <w:sz w:val="32"/>
          <w:szCs w:val="24"/>
          <w:lang w:val="en-US" w:eastAsia="zh-CN"/>
        </w:rPr>
        <w:t>行政单位医疗，反映财政部门安排的行政单位（包括实行公务员管理的事业单位）基本医疗保险缴费经费，未参加医疗保险的行政单位的公费医疗经费，按国家规定享受离休人员、红军老战士待遇人员的医疗经费。</w:t>
      </w:r>
    </w:p>
    <w:p>
      <w:pPr>
        <w:pStyle w:val="6"/>
        <w:spacing w:beforeLines="0" w:afterLines="0" w:line="560" w:lineRule="exact"/>
        <w:ind w:firstLine="640" w:firstLineChars="200"/>
        <w:rPr>
          <w:rFonts w:hint="eastAsia"/>
          <w:sz w:val="24"/>
          <w:szCs w:val="24"/>
        </w:rPr>
      </w:pPr>
      <w:r>
        <w:rPr>
          <w:rFonts w:hint="eastAsia" w:ascii="仿宋" w:hAnsi="仿宋" w:eastAsia="仿宋"/>
          <w:sz w:val="32"/>
          <w:szCs w:val="24"/>
          <w:highlight w:val="white"/>
        </w:rPr>
        <w:t>20.</w:t>
      </w:r>
      <w:r>
        <w:rPr>
          <w:rFonts w:hint="eastAsia" w:ascii="仿宋" w:hAnsi="仿宋" w:eastAsia="仿宋"/>
          <w:color w:val="000000"/>
          <w:sz w:val="32"/>
          <w:szCs w:val="24"/>
          <w:highlight w:val="white"/>
          <w:lang w:val="en-US" w:eastAsia="zh-CN"/>
        </w:rPr>
        <w:t>卫生健康支出（类）行政事业单位医疗</w:t>
      </w:r>
      <w:r>
        <w:rPr>
          <w:rFonts w:hint="eastAsia" w:ascii="仿宋" w:hAnsi="仿宋" w:eastAsia="仿宋"/>
          <w:color w:val="000000"/>
          <w:sz w:val="28"/>
          <w:szCs w:val="24"/>
          <w:highlight w:val="white"/>
          <w:lang w:val="en-US"/>
        </w:rPr>
        <w:t>（款）</w:t>
      </w:r>
      <w:r>
        <w:rPr>
          <w:rFonts w:hint="eastAsia" w:ascii="仿宋" w:hAnsi="仿宋" w:eastAsia="仿宋"/>
          <w:color w:val="000000"/>
          <w:sz w:val="32"/>
          <w:szCs w:val="24"/>
          <w:highlight w:val="white"/>
          <w:lang w:val="en-US"/>
        </w:rPr>
        <w:t>事业单位医疗</w:t>
      </w:r>
      <w:r>
        <w:rPr>
          <w:rFonts w:hint="eastAsia" w:ascii="仿宋" w:hAnsi="仿宋" w:eastAsia="仿宋"/>
          <w:color w:val="000000"/>
          <w:sz w:val="28"/>
          <w:szCs w:val="24"/>
          <w:highlight w:val="white"/>
          <w:lang w:val="en-US"/>
        </w:rPr>
        <w:t>（项）</w:t>
      </w:r>
      <w:r>
        <w:rPr>
          <w:rFonts w:hint="eastAsia" w:ascii="仿宋" w:hAnsi="仿宋" w:eastAsia="仿宋"/>
          <w:sz w:val="32"/>
          <w:szCs w:val="24"/>
          <w:highlight w:val="white"/>
        </w:rPr>
        <w:t>：指</w:t>
      </w:r>
      <w:r>
        <w:rPr>
          <w:rFonts w:hint="eastAsia"/>
          <w:sz w:val="32"/>
          <w:szCs w:val="24"/>
        </w:rPr>
        <w:t>事业单位医疗，反应财政部门安排的事业单位基本医疗保险缴费经费，未参加医疗保险的事业单位的公费医疗经费，按国家规定享受离休人员待遇的医疗经费。</w:t>
      </w:r>
    </w:p>
    <w:p>
      <w:pPr>
        <w:spacing w:beforeLines="0" w:afterLines="0"/>
        <w:jc w:val="left"/>
        <w:rPr>
          <w:rFonts w:hint="eastAsia" w:ascii="宋体" w:hAnsi="宋体"/>
          <w:color w:val="auto"/>
          <w:kern w:val="0"/>
          <w:sz w:val="18"/>
          <w:szCs w:val="24"/>
          <w:lang w:val="zh-CN"/>
        </w:rPr>
      </w:pPr>
    </w:p>
    <w:p>
      <w:pPr>
        <w:spacing w:beforeLines="0" w:afterLines="0"/>
        <w:jc w:val="left"/>
        <w:rPr>
          <w:rFonts w:hint="eastAsia" w:ascii="宋体" w:hAnsi="宋体"/>
          <w:color w:val="auto"/>
          <w:kern w:val="0"/>
          <w:sz w:val="18"/>
          <w:szCs w:val="24"/>
          <w:lang w:val="zh-CN"/>
        </w:rPr>
      </w:pPr>
    </w:p>
    <w:p>
      <w:pPr>
        <w:spacing w:beforeLines="0" w:afterLines="0"/>
        <w:jc w:val="left"/>
        <w:rPr>
          <w:rFonts w:hint="eastAsia" w:ascii="宋体" w:hAnsi="宋体"/>
          <w:color w:val="auto"/>
          <w:kern w:val="0"/>
          <w:sz w:val="18"/>
          <w:szCs w:val="24"/>
          <w:lang w:val="zh-CN"/>
        </w:rPr>
      </w:pPr>
    </w:p>
    <w:sectPr>
      <w:headerReference r:id="rId4" w:type="default"/>
      <w:footerReference r:id="rId5"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7WIFN0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q84c8LSwC/fv11+/Lr8/Mqe&#10;J3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B+1iBTdAQAAvgMAAA4AAAAAAAAA&#10;AQAgAAAAHgEAAGRycy9lMm9Eb2MueG1sUEsFBgAAAAAGAAYAWQEAAG0FAAAAAA==&#10;">
              <v:fill on="f" focussize="0,0"/>
              <v:stroke on="f"/>
              <v:imagedata o:title=""/>
              <o:lock v:ext="edit" aspectratio="f"/>
              <v:textbox inset="0mm,0mm,0mm,0mm" style="mso-fit-shape-to-text:t;">
                <w:txbxContent>
                  <w:p>
                    <w:pPr>
                      <w:pStyle w:val="2"/>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7CEB2"/>
    <w:multiLevelType w:val="singleLevel"/>
    <w:tmpl w:val="8237CEB2"/>
    <w:lvl w:ilvl="0" w:tentative="0">
      <w:start w:val="1"/>
      <w:numFmt w:val="chineseCounting"/>
      <w:suff w:val="nothing"/>
      <w:lvlText w:val="（%1）"/>
      <w:lvlJc w:val="left"/>
      <w:rPr>
        <w:rFonts w:hint="eastAsia"/>
      </w:rPr>
    </w:lvl>
  </w:abstractNum>
  <w:abstractNum w:abstractNumId="1">
    <w:nsid w:val="61443DDC"/>
    <w:multiLevelType w:val="multilevel"/>
    <w:tmpl w:val="61443DDC"/>
    <w:lvl w:ilvl="0" w:tentative="0">
      <w:start w:val="7"/>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A1EB05C"/>
    <w:multiLevelType w:val="multilevel"/>
    <w:tmpl w:val="6A1EB05C"/>
    <w:lvl w:ilvl="0" w:tentative="0">
      <w:start w:val="1"/>
      <w:numFmt w:val="decimal"/>
      <w:suff w:val="nothing"/>
      <w:lvlText w:val="（%1）"/>
      <w:lvlJc w:val="left"/>
      <w:pPr>
        <w:ind w:left="36"/>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mFkNmY3NjE1N2M1N2Q1Nzg5NjNiMzUyMTlmOTYifQ=="/>
  </w:docVars>
  <w:rsids>
    <w:rsidRoot w:val="00172A27"/>
    <w:rsid w:val="015A407D"/>
    <w:rsid w:val="06B05F59"/>
    <w:rsid w:val="239010D6"/>
    <w:rsid w:val="2B164D81"/>
    <w:rsid w:val="2D284CD7"/>
    <w:rsid w:val="2DF50295"/>
    <w:rsid w:val="38411519"/>
    <w:rsid w:val="3A9D6A6A"/>
    <w:rsid w:val="3C6F2CB0"/>
    <w:rsid w:val="3F08396E"/>
    <w:rsid w:val="50E52A32"/>
    <w:rsid w:val="62DD677E"/>
    <w:rsid w:val="6EFF182A"/>
    <w:rsid w:val="76FB257A"/>
    <w:rsid w:val="7BC763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szCs w:val="24"/>
    </w:rPr>
  </w:style>
  <w:style w:type="character" w:default="1" w:styleId="5">
    <w:name w:val="Default Paragraph Font"/>
    <w:unhideWhenUsed/>
    <w:uiPriority w:val="99"/>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default"/>
      <w:sz w:val="18"/>
      <w:szCs w:val="24"/>
    </w:rPr>
  </w:style>
  <w:style w:type="paragraph" w:styleId="3">
    <w:name w:val="header"/>
    <w:basedOn w:val="1"/>
    <w:unhideWhenUsed/>
    <w:qFormat/>
    <w:uiPriority w:val="99"/>
    <w:pPr>
      <w:tabs>
        <w:tab w:val="center" w:pos="4153"/>
        <w:tab w:val="right" w:pos="8306"/>
      </w:tabs>
      <w:snapToGrid w:val="0"/>
      <w:spacing w:beforeLines="0" w:afterLines="0"/>
    </w:pPr>
    <w:rPr>
      <w:rFonts w:hint="default"/>
      <w:sz w:val="18"/>
      <w:szCs w:val="24"/>
    </w:rPr>
  </w:style>
  <w:style w:type="paragraph" w:customStyle="1" w:styleId="6">
    <w:name w:val="Default"/>
    <w:unhideWhenUsed/>
    <w:qFormat/>
    <w:uiPriority w:val="0"/>
    <w:pPr>
      <w:widowControl w:val="0"/>
      <w:autoSpaceDE w:val="0"/>
      <w:autoSpaceDN w:val="0"/>
      <w:adjustRightInd w:val="0"/>
      <w:spacing w:beforeLines="0" w:afterLines="0"/>
    </w:pPr>
    <w:rPr>
      <w:rFonts w:hint="eastAsia" w:ascii="仿宋_GB2312" w:hAnsi="仿宋_GB2312" w:eastAsia="仿宋_GB2312" w:cs="Times New Roman"/>
      <w:color w:val="00000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2023-08-29T02:00:00Z</dcterms:created>
  <dc:creator>Administrator</dc:creator>
  <cp:lastModifiedBy>Administrator</cp:lastModifiedBy>
  <dcterms:modified xsi:type="dcterms:W3CDTF">2023-09-11T02:15:11Z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9B70BD3A090C4086B95DAEE8E4B6413D_13</vt:lpwstr>
  </property>
</Properties>
</file>