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8"/>
        <w:jc w:val="center"/>
        <w:rPr>
          <w:rFonts w:hint="default" w:ascii="Times New Roman" w:hAnsi="Times New Roman" w:eastAsia="方正小标宋简体"/>
          <w:bCs/>
          <w:sz w:val="52"/>
          <w:szCs w:val="52"/>
        </w:rPr>
      </w:pPr>
    </w:p>
    <w:p>
      <w:pPr>
        <w:pStyle w:val="68"/>
        <w:jc w:val="center"/>
        <w:rPr>
          <w:rFonts w:hint="default" w:ascii="Times New Roman" w:hAnsi="Times New Roman" w:eastAsia="方正小标宋简体"/>
          <w:bCs/>
          <w:sz w:val="52"/>
          <w:szCs w:val="52"/>
        </w:rPr>
      </w:pPr>
    </w:p>
    <w:p>
      <w:pPr>
        <w:pStyle w:val="68"/>
        <w:jc w:val="center"/>
        <w:rPr>
          <w:rFonts w:hint="default" w:ascii="Times New Roman" w:hAnsi="Times New Roman" w:eastAsia="方正小标宋简体"/>
          <w:bCs/>
          <w:sz w:val="52"/>
          <w:szCs w:val="52"/>
        </w:rPr>
      </w:pPr>
    </w:p>
    <w:p>
      <w:pPr>
        <w:pStyle w:val="68"/>
        <w:jc w:val="center"/>
        <w:rPr>
          <w:rFonts w:hint="default" w:ascii="Times New Roman" w:hAnsi="Times New Roman" w:eastAsia="方正小标宋简体"/>
          <w:bCs/>
          <w:sz w:val="52"/>
          <w:szCs w:val="52"/>
        </w:rPr>
      </w:pPr>
    </w:p>
    <w:p>
      <w:pPr>
        <w:pStyle w:val="68"/>
        <w:spacing w:line="920" w:lineRule="exact"/>
        <w:jc w:val="center"/>
        <w:rPr>
          <w:rFonts w:hint="default" w:ascii="Times New Roman" w:hAnsi="Times New Roman" w:eastAsia="方正小标宋简体"/>
          <w:bCs/>
          <w:sz w:val="56"/>
          <w:szCs w:val="56"/>
        </w:rPr>
      </w:pPr>
      <w:r>
        <w:rPr>
          <w:rFonts w:hint="default" w:ascii="Times New Roman" w:hAnsi="Times New Roman" w:eastAsia="方正小标宋简体"/>
          <w:bCs/>
          <w:sz w:val="56"/>
          <w:szCs w:val="56"/>
        </w:rPr>
        <w:t>兰溪市2022年财政预算执行情况及</w:t>
      </w:r>
    </w:p>
    <w:p>
      <w:pPr>
        <w:pStyle w:val="68"/>
        <w:spacing w:line="920" w:lineRule="exact"/>
        <w:jc w:val="center"/>
        <w:rPr>
          <w:rFonts w:hint="default" w:ascii="Times New Roman" w:hAnsi="Times New Roman" w:eastAsia="方正小标宋简体"/>
          <w:bCs/>
          <w:sz w:val="56"/>
          <w:szCs w:val="56"/>
        </w:rPr>
      </w:pPr>
      <w:r>
        <w:rPr>
          <w:rFonts w:hint="default" w:ascii="Times New Roman" w:hAnsi="Times New Roman" w:eastAsia="方正小标宋简体"/>
          <w:bCs/>
          <w:sz w:val="56"/>
          <w:szCs w:val="56"/>
        </w:rPr>
        <w:t>2023年财政预算草案附表</w:t>
      </w:r>
    </w:p>
    <w:p>
      <w:pPr>
        <w:pStyle w:val="68"/>
        <w:jc w:val="center"/>
        <w:rPr>
          <w:rFonts w:hint="default" w:ascii="Times New Roman" w:hAnsi="Times New Roman" w:eastAsia="方正小标宋简体"/>
          <w:bCs/>
          <w:sz w:val="56"/>
          <w:szCs w:val="56"/>
        </w:rPr>
      </w:pPr>
    </w:p>
    <w:p>
      <w:pPr>
        <w:pStyle w:val="68"/>
        <w:jc w:val="center"/>
        <w:rPr>
          <w:rFonts w:hint="default" w:ascii="Times New Roman" w:hAnsi="Times New Roman" w:eastAsia="方正小标宋简体"/>
          <w:bCs/>
          <w:sz w:val="56"/>
          <w:szCs w:val="56"/>
        </w:rPr>
      </w:pPr>
    </w:p>
    <w:p>
      <w:pPr>
        <w:pStyle w:val="68"/>
        <w:jc w:val="center"/>
        <w:rPr>
          <w:rFonts w:hint="default" w:ascii="Times New Roman" w:hAnsi="Times New Roman" w:eastAsia="方正小标宋简体"/>
          <w:bCs/>
          <w:sz w:val="56"/>
          <w:szCs w:val="56"/>
        </w:rPr>
      </w:pPr>
    </w:p>
    <w:p>
      <w:pPr>
        <w:pStyle w:val="68"/>
        <w:jc w:val="center"/>
        <w:rPr>
          <w:rFonts w:hint="default" w:ascii="Times New Roman" w:hAnsi="Times New Roman" w:eastAsia="方正小标宋简体"/>
          <w:bCs/>
          <w:sz w:val="56"/>
          <w:szCs w:val="56"/>
        </w:rPr>
      </w:pPr>
    </w:p>
    <w:p>
      <w:pPr>
        <w:pStyle w:val="68"/>
        <w:jc w:val="center"/>
        <w:rPr>
          <w:rFonts w:hint="default" w:ascii="Times New Roman" w:hAnsi="Times New Roman" w:eastAsia="方正小标宋简体"/>
          <w:bCs/>
          <w:sz w:val="56"/>
          <w:szCs w:val="56"/>
        </w:rPr>
      </w:pPr>
    </w:p>
    <w:p>
      <w:pPr>
        <w:pStyle w:val="68"/>
        <w:jc w:val="center"/>
        <w:rPr>
          <w:rFonts w:hint="default" w:ascii="Times New Roman" w:hAnsi="Times New Roman" w:eastAsia="方正小标宋简体"/>
          <w:bCs/>
          <w:sz w:val="56"/>
          <w:szCs w:val="56"/>
        </w:rPr>
      </w:pPr>
    </w:p>
    <w:p>
      <w:pPr>
        <w:pStyle w:val="68"/>
        <w:jc w:val="center"/>
        <w:rPr>
          <w:rFonts w:hint="default" w:ascii="Times New Roman" w:hAnsi="Times New Roman" w:eastAsia="方正小标宋简体"/>
          <w:bCs/>
          <w:sz w:val="56"/>
          <w:szCs w:val="56"/>
        </w:rPr>
      </w:pPr>
    </w:p>
    <w:p>
      <w:pPr>
        <w:pStyle w:val="68"/>
        <w:jc w:val="center"/>
        <w:rPr>
          <w:rFonts w:hint="default" w:ascii="Times New Roman" w:hAnsi="Times New Roman" w:eastAsia="方正小标宋简体"/>
          <w:bCs/>
          <w:sz w:val="56"/>
          <w:szCs w:val="56"/>
        </w:rPr>
      </w:pPr>
    </w:p>
    <w:p>
      <w:pPr>
        <w:pStyle w:val="68"/>
        <w:spacing w:line="400" w:lineRule="exact"/>
        <w:jc w:val="center"/>
        <w:rPr>
          <w:rFonts w:hint="default" w:ascii="Times New Roman" w:hAnsi="Times New Roman" w:eastAsia="黑体"/>
          <w:bCs/>
          <w:sz w:val="44"/>
          <w:szCs w:val="44"/>
        </w:rPr>
      </w:pPr>
    </w:p>
    <w:p>
      <w:pPr>
        <w:pStyle w:val="68"/>
        <w:spacing w:line="480" w:lineRule="exact"/>
        <w:jc w:val="center"/>
        <w:rPr>
          <w:rFonts w:hint="default" w:ascii="Times New Roman" w:hAnsi="Times New Roman" w:eastAsia="黑体"/>
          <w:bCs/>
          <w:sz w:val="44"/>
          <w:szCs w:val="44"/>
        </w:rPr>
        <w:sectPr>
          <w:footerReference r:id="rId3" w:type="default"/>
          <w:pgSz w:w="11907" w:h="16840"/>
          <w:pgMar w:top="1701" w:right="1588" w:bottom="1588" w:left="1588" w:header="964" w:footer="992" w:gutter="0"/>
          <w:cols w:space="425" w:num="1"/>
          <w:docGrid w:type="lines" w:linePitch="312" w:charSpace="0"/>
        </w:sectPr>
      </w:pPr>
      <w:r>
        <w:rPr>
          <w:rFonts w:hint="default" w:ascii="Times New Roman" w:hAnsi="Times New Roman" w:eastAsia="黑体"/>
          <w:bCs/>
          <w:sz w:val="44"/>
          <w:szCs w:val="44"/>
        </w:rPr>
        <w:t>2023年1月</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目   录</w:t>
      </w:r>
    </w:p>
    <w:p>
      <w:pPr>
        <w:rPr>
          <w:rFonts w:ascii="Times New Roman" w:hAnsi="Times New Roman" w:eastAsia="仿宋_GB2312" w:cs="Times New Roman"/>
          <w:sz w:val="32"/>
          <w:szCs w:val="32"/>
        </w:rPr>
      </w:pPr>
    </w:p>
    <w:tbl>
      <w:tblPr>
        <w:tblStyle w:val="8"/>
        <w:tblW w:w="9463" w:type="dxa"/>
        <w:tblInd w:w="-2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07"/>
        <w:gridCol w:w="756"/>
      </w:tblGrid>
      <w:tr>
        <w:tblPrEx>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1．表一：22022年一般公共预算收入执行情况表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2．表二：2022年一般公共预算支出执行情况表（类级）</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3．表三：2022年一般公共预算支出执行情况表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4．表四：2022年一般公共预算</w:t>
            </w:r>
            <w:r>
              <w:rPr>
                <w:rFonts w:hint="eastAsia" w:ascii="Times New Roman" w:hAnsi="Times New Roman" w:eastAsia="仿宋_GB2312" w:cs="Times New Roman"/>
                <w:sz w:val="32"/>
                <w:szCs w:val="32"/>
                <w:highlight w:val="none"/>
                <w:lang w:val="en-US" w:eastAsia="zh-CN"/>
              </w:rPr>
              <w:t>本级</w:t>
            </w:r>
            <w:r>
              <w:rPr>
                <w:rFonts w:ascii="Times New Roman" w:hAnsi="Times New Roman" w:eastAsia="仿宋_GB2312" w:cs="Times New Roman"/>
                <w:sz w:val="32"/>
                <w:szCs w:val="32"/>
              </w:rPr>
              <w:t>基本支出执行情况表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5．表五：2022年一般公共预算税收返还和转移支付情况表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6．表六：2022年政府性基金收入执行情况表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7．表七：2022年政府性基金支出执行情况表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8．表八：2022年政府性基金转移支付执行情况表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9．表九：2022年国有资本经营预算收入执行情况表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10．表十：2022年国有资本经营预算支出执行情况表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11．表十一：2022年社会保险基金预算收入执行情况表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12．表十二：2022年社会保险基金预算支出执行情况表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13．表十三：2023年一般公共预算收入预算表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14．表十四：2023年一般公共预算支出预算（类级）表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15．表十五：2023年一般公共预算支出预算表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16．表十六：2023年一般公共预算</w:t>
            </w:r>
            <w:r>
              <w:rPr>
                <w:rFonts w:hint="eastAsia" w:ascii="Times New Roman" w:hAnsi="Times New Roman" w:eastAsia="仿宋_GB2312" w:cs="Times New Roman"/>
                <w:sz w:val="32"/>
                <w:szCs w:val="32"/>
                <w:lang w:val="en-US" w:eastAsia="zh-CN"/>
              </w:rPr>
              <w:t>本级</w:t>
            </w:r>
            <w:r>
              <w:rPr>
                <w:rFonts w:ascii="Times New Roman" w:hAnsi="Times New Roman" w:eastAsia="仿宋_GB2312" w:cs="Times New Roman"/>
                <w:sz w:val="32"/>
                <w:szCs w:val="32"/>
              </w:rPr>
              <w:t>基本支出预算表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17．表十七：</w:t>
            </w:r>
            <w:r>
              <w:rPr>
                <w:rFonts w:ascii="Times New Roman" w:hAnsi="Times New Roman" w:eastAsia="仿宋_GB2312" w:cs="Times New Roman"/>
                <w:spacing w:val="-14"/>
                <w:sz w:val="32"/>
                <w:szCs w:val="32"/>
              </w:rPr>
              <w:t>2023年一般公共预算税收返还和转移支付预算表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18．表十八：2023年政府性基金预算收入预算表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19．表十九：2023年政府性基金预算支出预算表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20．表二十：2023年政府性基金转移支付预算表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21．表二十一：2023年国有资本经营预算收入预算表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22．表二十二：2023年国有资本经营预算支出预算表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23．表二十三：2023年社会保险基金预算收入预算表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24．表二十四：2023年社会保险基金预算支出预算表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25．表二十五：2022年地方政府债务限额及余额情况表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26．表二十六：2022年地方政府一般债务余额情况表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27．表二十七：2022年地方政府专项债务余额情况表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28．表二十八：</w:t>
            </w:r>
            <w:r>
              <w:rPr>
                <w:rFonts w:hint="eastAsia" w:ascii="Times New Roman" w:hAnsi="Times New Roman" w:eastAsia="仿宋_GB2312" w:cs="Times New Roman"/>
                <w:sz w:val="32"/>
                <w:szCs w:val="32"/>
              </w:rPr>
              <w:t>地方政府债券转贷及还本付息情况表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29．表二十九：2023年“三公”经费预算表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7"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30．表三十：2023年政府重大投资项目资金安排情况表</w:t>
            </w:r>
            <w:r>
              <w:rPr>
                <w:rFonts w:ascii="宋体" w:hAnsi="宋体" w:eastAsia="宋体" w:cs="Times New Roman"/>
                <w:sz w:val="32"/>
                <w:szCs w:val="32"/>
              </w:rPr>
              <w:t>……</w:t>
            </w:r>
          </w:p>
        </w:tc>
        <w:tc>
          <w:tcPr>
            <w:tcW w:w="756" w:type="dxa"/>
          </w:tcPr>
          <w:p>
            <w:pPr>
              <w:spacing w:line="600" w:lineRule="exact"/>
              <w:jc w:val="center"/>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78</w:t>
            </w:r>
          </w:p>
        </w:tc>
      </w:tr>
    </w:tbl>
    <w:p>
      <w:pPr>
        <w:spacing w:line="600" w:lineRule="exact"/>
        <w:textAlignment w:val="baseline"/>
        <w:rPr>
          <w:rFonts w:ascii="Times New Roman" w:hAnsi="Times New Roman" w:eastAsia="仿宋_GB2312" w:cs="Times New Roman"/>
          <w:sz w:val="32"/>
          <w:szCs w:val="32"/>
        </w:rPr>
      </w:pPr>
    </w:p>
    <w:p>
      <w:pPr>
        <w:spacing w:line="600" w:lineRule="exact"/>
        <w:textAlignment w:val="baseline"/>
        <w:rPr>
          <w:rFonts w:ascii="Times New Roman" w:hAnsi="Times New Roman" w:eastAsia="仿宋_GB2312" w:cs="Times New Roman"/>
          <w:sz w:val="32"/>
          <w:szCs w:val="32"/>
        </w:rPr>
      </w:pPr>
    </w:p>
    <w:p>
      <w:pPr>
        <w:rPr>
          <w:rFonts w:ascii="Times New Roman" w:hAnsi="Times New Roman" w:cs="Times New Roman"/>
        </w:rPr>
      </w:pPr>
    </w:p>
    <w:p>
      <w:pPr>
        <w:spacing w:line="600" w:lineRule="exact"/>
        <w:textAlignment w:val="baseline"/>
        <w:rPr>
          <w:rFonts w:ascii="Times New Roman" w:hAnsi="Times New Roman" w:eastAsia="仿宋_GB2312" w:cs="Times New Roman"/>
          <w:sz w:val="32"/>
          <w:szCs w:val="32"/>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sectPr>
          <w:footerReference r:id="rId4" w:type="default"/>
          <w:pgSz w:w="11907" w:h="16840"/>
          <w:pgMar w:top="1701" w:right="1588" w:bottom="1588" w:left="1588" w:header="964" w:footer="1134" w:gutter="0"/>
          <w:pgNumType w:start="1"/>
          <w:cols w:space="425" w:num="1"/>
          <w:docGrid w:type="lines" w:linePitch="312" w:charSpace="0"/>
        </w:sectPr>
      </w:pPr>
    </w:p>
    <w:p>
      <w:pPr>
        <w:spacing w:line="600" w:lineRule="exact"/>
        <w:jc w:val="center"/>
        <w:rPr>
          <w:rFonts w:ascii="Times New Roman" w:hAnsi="Times New Roman" w:eastAsia="方正小标宋简体" w:cs="Times New Roman"/>
          <w:color w:val="000000" w:themeColor="text1"/>
          <w:spacing w:val="-6"/>
          <w:kern w:val="0"/>
          <w:sz w:val="44"/>
          <w:szCs w:val="44"/>
        </w:rPr>
      </w:pPr>
      <w:bookmarkStart w:id="0" w:name="RANGE!A1:F62"/>
      <w:r>
        <w:rPr>
          <w:rFonts w:ascii="Times New Roman" w:hAnsi="Times New Roman" w:eastAsia="方正小标宋简体" w:cs="Times New Roman"/>
          <w:color w:val="000000" w:themeColor="text1"/>
          <w:spacing w:val="-6"/>
          <w:kern w:val="0"/>
          <w:sz w:val="44"/>
          <w:szCs w:val="44"/>
        </w:rPr>
        <w:t>2022年一般公共预算收入执行情况表</w:t>
      </w:r>
      <w:bookmarkEnd w:id="0"/>
    </w:p>
    <w:p>
      <w:pPr>
        <w:rPr>
          <w:rFonts w:ascii="Times New Roman" w:hAnsi="Times New Roman" w:eastAsia="楷体_GB2312" w:cs="Times New Roman"/>
          <w:color w:val="000000" w:themeColor="text1"/>
          <w:kern w:val="0"/>
          <w:sz w:val="24"/>
          <w:szCs w:val="2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表一                                                          单位：万元</w:t>
      </w:r>
    </w:p>
    <w:tbl>
      <w:tblPr>
        <w:tblStyle w:val="7"/>
        <w:tblW w:w="94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07"/>
        <w:gridCol w:w="1120"/>
        <w:gridCol w:w="1075"/>
        <w:gridCol w:w="1056"/>
        <w:gridCol w:w="876"/>
        <w:gridCol w:w="10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blHeader/>
          <w:jc w:val="center"/>
        </w:trPr>
        <w:tc>
          <w:tcPr>
            <w:tcW w:w="4307" w:type="dxa"/>
            <w:vMerge w:val="restart"/>
            <w:shd w:val="clear" w:color="auto" w:fill="auto"/>
            <w:noWrap/>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1120"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预算数</w:t>
            </w:r>
          </w:p>
        </w:tc>
        <w:tc>
          <w:tcPr>
            <w:tcW w:w="1075"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调整后预算数</w:t>
            </w:r>
          </w:p>
        </w:tc>
        <w:tc>
          <w:tcPr>
            <w:tcW w:w="1056"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执行数</w:t>
            </w:r>
          </w:p>
        </w:tc>
        <w:tc>
          <w:tcPr>
            <w:tcW w:w="876"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为调整后</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预算%</w:t>
            </w:r>
          </w:p>
        </w:tc>
        <w:tc>
          <w:tcPr>
            <w:tcW w:w="1015"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比上年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blHeader/>
          <w:jc w:val="center"/>
        </w:trPr>
        <w:tc>
          <w:tcPr>
            <w:tcW w:w="4307" w:type="dxa"/>
            <w:vMerge w:val="continue"/>
            <w:vAlign w:val="center"/>
          </w:tcPr>
          <w:p>
            <w:pPr>
              <w:widowControl/>
              <w:jc w:val="left"/>
              <w:rPr>
                <w:rFonts w:ascii="Times New Roman" w:hAnsi="Times New Roman" w:eastAsia="黑体" w:cs="Times New Roman"/>
                <w:color w:val="000000"/>
                <w:kern w:val="0"/>
                <w:sz w:val="24"/>
                <w:szCs w:val="24"/>
              </w:rPr>
            </w:pPr>
          </w:p>
        </w:tc>
        <w:tc>
          <w:tcPr>
            <w:tcW w:w="1120" w:type="dxa"/>
            <w:vMerge w:val="continue"/>
            <w:vAlign w:val="center"/>
          </w:tcPr>
          <w:p>
            <w:pPr>
              <w:widowControl/>
              <w:jc w:val="left"/>
              <w:rPr>
                <w:rFonts w:ascii="Times New Roman" w:hAnsi="Times New Roman" w:eastAsia="黑体" w:cs="Times New Roman"/>
                <w:color w:val="000000"/>
                <w:kern w:val="0"/>
                <w:sz w:val="24"/>
                <w:szCs w:val="24"/>
              </w:rPr>
            </w:pPr>
          </w:p>
        </w:tc>
        <w:tc>
          <w:tcPr>
            <w:tcW w:w="1075" w:type="dxa"/>
            <w:vMerge w:val="continue"/>
            <w:vAlign w:val="center"/>
          </w:tcPr>
          <w:p>
            <w:pPr>
              <w:widowControl/>
              <w:jc w:val="left"/>
              <w:rPr>
                <w:rFonts w:ascii="Times New Roman" w:hAnsi="Times New Roman" w:eastAsia="黑体" w:cs="Times New Roman"/>
                <w:color w:val="000000"/>
                <w:kern w:val="0"/>
                <w:sz w:val="24"/>
                <w:szCs w:val="24"/>
              </w:rPr>
            </w:pPr>
          </w:p>
        </w:tc>
        <w:tc>
          <w:tcPr>
            <w:tcW w:w="1056" w:type="dxa"/>
            <w:vMerge w:val="continue"/>
            <w:vAlign w:val="center"/>
          </w:tcPr>
          <w:p>
            <w:pPr>
              <w:widowControl/>
              <w:jc w:val="left"/>
              <w:rPr>
                <w:rFonts w:ascii="Times New Roman" w:hAnsi="Times New Roman" w:eastAsia="黑体" w:cs="Times New Roman"/>
                <w:color w:val="000000"/>
                <w:kern w:val="0"/>
                <w:sz w:val="24"/>
                <w:szCs w:val="24"/>
              </w:rPr>
            </w:pPr>
          </w:p>
        </w:tc>
        <w:tc>
          <w:tcPr>
            <w:tcW w:w="876" w:type="dxa"/>
            <w:vMerge w:val="continue"/>
            <w:vAlign w:val="center"/>
          </w:tcPr>
          <w:p>
            <w:pPr>
              <w:widowControl/>
              <w:jc w:val="left"/>
              <w:rPr>
                <w:rFonts w:ascii="Times New Roman" w:hAnsi="Times New Roman" w:eastAsia="黑体" w:cs="Times New Roman"/>
                <w:color w:val="000000"/>
                <w:kern w:val="0"/>
                <w:sz w:val="24"/>
                <w:szCs w:val="24"/>
              </w:rPr>
            </w:pPr>
          </w:p>
        </w:tc>
        <w:tc>
          <w:tcPr>
            <w:tcW w:w="1015" w:type="dxa"/>
            <w:vMerge w:val="continue"/>
            <w:vAlign w:val="center"/>
          </w:tcPr>
          <w:p>
            <w:pPr>
              <w:widowControl/>
              <w:jc w:val="left"/>
              <w:rPr>
                <w:rFonts w:ascii="Times New Roman" w:hAnsi="Times New Roman" w:eastAsia="黑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一、本级收入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372682</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329163</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344951</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104.8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（一）税收收入小计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296059</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248032</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250512</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101.0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增值税</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138348</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93396</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94369</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101.0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企业所得税</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35000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43648</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43742</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100.2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个人所得税</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15100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14366</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15221</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106.0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资源税</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2686</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2666</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99.3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城市维护建设税</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20586</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17046</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16939</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99.4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房产税</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10696</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11748</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12026</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102.4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印花税</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5500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6035</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6046</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100.2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城镇土地使用税</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9689</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10530</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10413</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98.9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土地增值税</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22000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15245</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15274</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100.2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车船税</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2900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3097</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3122</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100.8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耕地占用税</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4500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5603</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5728</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102.2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契税</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28000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23792</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24126</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101.4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环境保护税</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840</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840</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其他税收收入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（二）非税收入小计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76623</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81131</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94439</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116.4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专项收入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18503</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16146</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16152</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其中:教育费附加收入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9009</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7453</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7444</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99.9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1200" w:firstLineChars="5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地方教育附加收入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6084</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4969</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4963</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99.9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1200" w:firstLineChars="5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残疾人就业保障金收入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2512</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2533</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100.8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1200" w:firstLineChars="5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森林植被恢复费</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1196</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1196</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1200" w:firstLineChars="5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水利建设专项收入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行政事业性收费收入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3276</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4277</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130.6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罚没收入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7500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929</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12428</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1337.8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2544.3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国有资本经营收入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-2200</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-2200</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其中:国有企业计划亏损补贴</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-2200</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-2200</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国有资源（资产）有偿使用收入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49860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61403</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62087</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101.1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政府住房基金收入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1565</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1683</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107.5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其他收入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二、预计转移性收入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559882</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604401</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655932</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（一）上级税收返还收入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13183</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13183</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13183</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（二）上级转移支付收入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195000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195000</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284000</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专项转移支付收入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55000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55000</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62600</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一般性转移支付收入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140000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140000</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221400</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（三）地方政府一般债务转贷收入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34000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35000</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35000</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（四）调入资金</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277975</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321494</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267310</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其中:从预算稳定调节基金调入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20000</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20000</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960" w:firstLineChars="4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从政府性基金预算调入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157885</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157885</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230000</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960" w:firstLineChars="4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从国有资本经营预算调入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ind w:firstLine="960" w:firstLineChars="4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从其他资金调入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100000</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143519</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17220</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（五）使用结转资金</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39724</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39724</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56439</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307" w:type="dxa"/>
            <w:shd w:val="clear" w:color="auto" w:fill="auto"/>
            <w:noWrap/>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收入合计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932564</w:t>
            </w:r>
          </w:p>
        </w:tc>
        <w:tc>
          <w:tcPr>
            <w:tcW w:w="10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933564</w:t>
            </w:r>
          </w:p>
        </w:tc>
        <w:tc>
          <w:tcPr>
            <w:tcW w:w="10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1000883</w:t>
            </w:r>
          </w:p>
        </w:tc>
        <w:tc>
          <w:tcPr>
            <w:tcW w:w="87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rPr>
          <w:rFonts w:ascii="Times New Roman" w:hAnsi="Times New Roman" w:cs="Times New Roman"/>
        </w:rPr>
      </w:pPr>
    </w:p>
    <w:tbl>
      <w:tblPr>
        <w:tblStyle w:val="7"/>
        <w:tblW w:w="9449" w:type="dxa"/>
        <w:jc w:val="center"/>
        <w:tblLayout w:type="fixed"/>
        <w:tblCellMar>
          <w:top w:w="0" w:type="dxa"/>
          <w:left w:w="108" w:type="dxa"/>
          <w:bottom w:w="0" w:type="dxa"/>
          <w:right w:w="108" w:type="dxa"/>
        </w:tblCellMar>
      </w:tblPr>
      <w:tblGrid>
        <w:gridCol w:w="7558"/>
        <w:gridCol w:w="876"/>
        <w:gridCol w:w="1015"/>
      </w:tblGrid>
      <w:tr>
        <w:tblPrEx>
          <w:tblCellMar>
            <w:top w:w="0" w:type="dxa"/>
            <w:left w:w="108" w:type="dxa"/>
            <w:bottom w:w="0" w:type="dxa"/>
            <w:right w:w="108" w:type="dxa"/>
          </w:tblCellMar>
        </w:tblPrEx>
        <w:trPr>
          <w:trHeight w:val="323" w:hRule="atLeast"/>
          <w:jc w:val="center"/>
        </w:trPr>
        <w:tc>
          <w:tcPr>
            <w:tcW w:w="9449" w:type="dxa"/>
            <w:gridSpan w:val="3"/>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sz w:val="22"/>
              </w:rPr>
            </w:pPr>
            <w:r>
              <w:rPr>
                <w:rFonts w:ascii="Times New Roman" w:hAnsi="Times New Roman" w:eastAsia="楷体_GB2312" w:cs="Times New Roman"/>
                <w:sz w:val="22"/>
              </w:rPr>
              <w:t>注：1.增值税减少主要是受留抵退税政策影响，税收减少。</w:t>
            </w:r>
          </w:p>
        </w:tc>
      </w:tr>
      <w:tr>
        <w:tblPrEx>
          <w:tblCellMar>
            <w:top w:w="0" w:type="dxa"/>
            <w:left w:w="108" w:type="dxa"/>
            <w:bottom w:w="0" w:type="dxa"/>
            <w:right w:w="108" w:type="dxa"/>
          </w:tblCellMar>
        </w:tblPrEx>
        <w:trPr>
          <w:trHeight w:val="323" w:hRule="atLeast"/>
          <w:jc w:val="center"/>
        </w:trPr>
        <w:tc>
          <w:tcPr>
            <w:tcW w:w="9449" w:type="dxa"/>
            <w:gridSpan w:val="3"/>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2.企业所得税增加主要是房地产、金融业企业效益较好申报入库税款增加。</w:t>
            </w:r>
          </w:p>
        </w:tc>
      </w:tr>
      <w:tr>
        <w:tblPrEx>
          <w:tblCellMar>
            <w:top w:w="0" w:type="dxa"/>
            <w:left w:w="108" w:type="dxa"/>
            <w:bottom w:w="0" w:type="dxa"/>
            <w:right w:w="108" w:type="dxa"/>
          </w:tblCellMar>
        </w:tblPrEx>
        <w:trPr>
          <w:trHeight w:val="323" w:hRule="atLeast"/>
          <w:jc w:val="center"/>
        </w:trPr>
        <w:tc>
          <w:tcPr>
            <w:tcW w:w="9449" w:type="dxa"/>
            <w:gridSpan w:val="3"/>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3.个人所得税增加主要是行政事业单位职工年终奖扣缴税款增加。</w:t>
            </w:r>
          </w:p>
        </w:tc>
      </w:tr>
      <w:tr>
        <w:tblPrEx>
          <w:tblCellMar>
            <w:top w:w="0" w:type="dxa"/>
            <w:left w:w="108" w:type="dxa"/>
            <w:bottom w:w="0" w:type="dxa"/>
            <w:right w:w="108" w:type="dxa"/>
          </w:tblCellMar>
        </w:tblPrEx>
        <w:trPr>
          <w:trHeight w:val="323" w:hRule="atLeast"/>
          <w:jc w:val="center"/>
        </w:trPr>
        <w:tc>
          <w:tcPr>
            <w:tcW w:w="9449" w:type="dxa"/>
            <w:gridSpan w:val="3"/>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4.房产税、城镇土地使用税增加主要是对相关产业房地产优惠政策取消。</w:t>
            </w:r>
          </w:p>
        </w:tc>
      </w:tr>
      <w:tr>
        <w:tblPrEx>
          <w:tblCellMar>
            <w:top w:w="0" w:type="dxa"/>
            <w:left w:w="108" w:type="dxa"/>
            <w:bottom w:w="0" w:type="dxa"/>
            <w:right w:w="108" w:type="dxa"/>
          </w:tblCellMar>
        </w:tblPrEx>
        <w:trPr>
          <w:trHeight w:val="323" w:hRule="atLeast"/>
          <w:jc w:val="center"/>
        </w:trPr>
        <w:tc>
          <w:tcPr>
            <w:tcW w:w="9449" w:type="dxa"/>
            <w:gridSpan w:val="3"/>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5.印花税增加主要是城投集团、兰溪电厂、聚业建设、聚通建设等企业申报印花税增多。</w:t>
            </w:r>
          </w:p>
        </w:tc>
      </w:tr>
      <w:tr>
        <w:tblPrEx>
          <w:tblCellMar>
            <w:top w:w="0" w:type="dxa"/>
            <w:left w:w="108" w:type="dxa"/>
            <w:bottom w:w="0" w:type="dxa"/>
            <w:right w:w="108" w:type="dxa"/>
          </w:tblCellMar>
        </w:tblPrEx>
        <w:trPr>
          <w:trHeight w:val="323" w:hRule="atLeast"/>
          <w:jc w:val="center"/>
        </w:trPr>
        <w:tc>
          <w:tcPr>
            <w:tcW w:w="9449" w:type="dxa"/>
            <w:gridSpan w:val="3"/>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6.土地增值税减少主要是清算退库金额增加。</w:t>
            </w:r>
          </w:p>
        </w:tc>
      </w:tr>
      <w:tr>
        <w:tblPrEx>
          <w:tblCellMar>
            <w:top w:w="0" w:type="dxa"/>
            <w:left w:w="108" w:type="dxa"/>
            <w:bottom w:w="0" w:type="dxa"/>
            <w:right w:w="108" w:type="dxa"/>
          </w:tblCellMar>
        </w:tblPrEx>
        <w:trPr>
          <w:trHeight w:val="323" w:hRule="atLeast"/>
          <w:jc w:val="center"/>
        </w:trPr>
        <w:tc>
          <w:tcPr>
            <w:tcW w:w="9449" w:type="dxa"/>
            <w:gridSpan w:val="3"/>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7.耕地占用税减少主要是金建高铁项目21年补缴耕地占用费数额较大。</w:t>
            </w:r>
          </w:p>
        </w:tc>
      </w:tr>
      <w:tr>
        <w:tblPrEx>
          <w:tblCellMar>
            <w:top w:w="0" w:type="dxa"/>
            <w:left w:w="108" w:type="dxa"/>
            <w:bottom w:w="0" w:type="dxa"/>
            <w:right w:w="108" w:type="dxa"/>
          </w:tblCellMar>
        </w:tblPrEx>
        <w:trPr>
          <w:trHeight w:val="323" w:hRule="atLeast"/>
          <w:jc w:val="center"/>
        </w:trPr>
        <w:tc>
          <w:tcPr>
            <w:tcW w:w="9449" w:type="dxa"/>
            <w:gridSpan w:val="3"/>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8.契税减少主要是房地产市场低迷，交易量减少。</w:t>
            </w:r>
          </w:p>
        </w:tc>
      </w:tr>
      <w:tr>
        <w:tblPrEx>
          <w:tblCellMar>
            <w:top w:w="0" w:type="dxa"/>
            <w:left w:w="108" w:type="dxa"/>
            <w:bottom w:w="0" w:type="dxa"/>
            <w:right w:w="108" w:type="dxa"/>
          </w:tblCellMar>
        </w:tblPrEx>
        <w:trPr>
          <w:trHeight w:val="323" w:hRule="atLeast"/>
          <w:jc w:val="center"/>
        </w:trPr>
        <w:tc>
          <w:tcPr>
            <w:tcW w:w="9449" w:type="dxa"/>
            <w:gridSpan w:val="3"/>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9.环境保护税增加主要是浙能兰溪电厂缴纳增加。</w:t>
            </w:r>
          </w:p>
        </w:tc>
      </w:tr>
      <w:tr>
        <w:tblPrEx>
          <w:tblCellMar>
            <w:top w:w="0" w:type="dxa"/>
            <w:left w:w="108" w:type="dxa"/>
            <w:bottom w:w="0" w:type="dxa"/>
            <w:right w:w="108" w:type="dxa"/>
          </w:tblCellMar>
        </w:tblPrEx>
        <w:trPr>
          <w:trHeight w:val="323" w:hRule="atLeast"/>
          <w:jc w:val="center"/>
        </w:trPr>
        <w:tc>
          <w:tcPr>
            <w:tcW w:w="9449" w:type="dxa"/>
            <w:gridSpan w:val="3"/>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10.残疾人就业保障金收入增加主要是规范残保金缴纳标准，相应收入增加。</w:t>
            </w:r>
          </w:p>
        </w:tc>
      </w:tr>
      <w:tr>
        <w:tblPrEx>
          <w:tblCellMar>
            <w:top w:w="0" w:type="dxa"/>
            <w:left w:w="108" w:type="dxa"/>
            <w:bottom w:w="0" w:type="dxa"/>
            <w:right w:w="108" w:type="dxa"/>
          </w:tblCellMar>
        </w:tblPrEx>
        <w:trPr>
          <w:trHeight w:val="323" w:hRule="atLeast"/>
          <w:jc w:val="center"/>
        </w:trPr>
        <w:tc>
          <w:tcPr>
            <w:tcW w:w="9449" w:type="dxa"/>
            <w:gridSpan w:val="3"/>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11.森林植被恢复费减少主要是22年项目数减少且项目管理权移交上级部门。</w:t>
            </w:r>
          </w:p>
        </w:tc>
      </w:tr>
      <w:tr>
        <w:tblPrEx>
          <w:tblCellMar>
            <w:top w:w="0" w:type="dxa"/>
            <w:left w:w="108" w:type="dxa"/>
            <w:bottom w:w="0" w:type="dxa"/>
            <w:right w:w="108" w:type="dxa"/>
          </w:tblCellMar>
        </w:tblPrEx>
        <w:trPr>
          <w:trHeight w:val="323" w:hRule="atLeast"/>
          <w:jc w:val="center"/>
        </w:trPr>
        <w:tc>
          <w:tcPr>
            <w:tcW w:w="9449" w:type="dxa"/>
            <w:gridSpan w:val="3"/>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12.行政事业性收费增加主要是法院新增事业性收入增加。</w:t>
            </w:r>
          </w:p>
        </w:tc>
      </w:tr>
      <w:tr>
        <w:tblPrEx>
          <w:tblCellMar>
            <w:top w:w="0" w:type="dxa"/>
            <w:left w:w="108" w:type="dxa"/>
            <w:bottom w:w="0" w:type="dxa"/>
            <w:right w:w="108" w:type="dxa"/>
          </w:tblCellMar>
        </w:tblPrEx>
        <w:trPr>
          <w:trHeight w:val="323" w:hRule="atLeast"/>
          <w:jc w:val="center"/>
        </w:trPr>
        <w:tc>
          <w:tcPr>
            <w:tcW w:w="9449" w:type="dxa"/>
            <w:gridSpan w:val="3"/>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13.罚没收入增加主要是因为公安罚没款增加。</w:t>
            </w:r>
          </w:p>
        </w:tc>
      </w:tr>
      <w:tr>
        <w:tblPrEx>
          <w:tblCellMar>
            <w:top w:w="0" w:type="dxa"/>
            <w:left w:w="108" w:type="dxa"/>
            <w:bottom w:w="0" w:type="dxa"/>
            <w:right w:w="108" w:type="dxa"/>
          </w:tblCellMar>
        </w:tblPrEx>
        <w:trPr>
          <w:trHeight w:val="323" w:hRule="atLeast"/>
          <w:jc w:val="center"/>
        </w:trPr>
        <w:tc>
          <w:tcPr>
            <w:tcW w:w="7558"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14.国有资本经营收入减少主要是对国企亏损补贴减少。</w:t>
            </w:r>
          </w:p>
        </w:tc>
        <w:tc>
          <w:tcPr>
            <w:tcW w:w="876"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p>
        </w:tc>
        <w:tc>
          <w:tcPr>
            <w:tcW w:w="101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p>
        </w:tc>
      </w:tr>
      <w:tr>
        <w:tblPrEx>
          <w:tblCellMar>
            <w:top w:w="0" w:type="dxa"/>
            <w:left w:w="108" w:type="dxa"/>
            <w:bottom w:w="0" w:type="dxa"/>
            <w:right w:w="108" w:type="dxa"/>
          </w:tblCellMar>
        </w:tblPrEx>
        <w:trPr>
          <w:trHeight w:val="323" w:hRule="atLeast"/>
          <w:jc w:val="center"/>
        </w:trPr>
        <w:tc>
          <w:tcPr>
            <w:tcW w:w="9449" w:type="dxa"/>
            <w:gridSpan w:val="3"/>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15.国有资源（资产）有偿使用收入减少主要是矿产资源出让减少。</w:t>
            </w:r>
          </w:p>
        </w:tc>
      </w:tr>
    </w:tbl>
    <w:p>
      <w:pPr>
        <w:spacing w:line="600" w:lineRule="exact"/>
        <w:jc w:val="center"/>
        <w:rPr>
          <w:rFonts w:ascii="Times New Roman" w:hAnsi="Times New Roman" w:eastAsia="方正小标宋简体" w:cs="Times New Roman"/>
          <w:color w:val="000000" w:themeColor="text1"/>
          <w:spacing w:val="-6"/>
          <w:kern w:val="0"/>
          <w:sz w:val="44"/>
          <w:szCs w:val="44"/>
        </w:rPr>
      </w:pPr>
      <w:bookmarkStart w:id="1" w:name="RANGE!A1:F35"/>
      <w:r>
        <w:rPr>
          <w:rFonts w:ascii="Times New Roman" w:hAnsi="Times New Roman" w:eastAsia="方正小标宋简体" w:cs="Times New Roman"/>
          <w:color w:val="000000"/>
          <w:kern w:val="0"/>
          <w:sz w:val="44"/>
          <w:szCs w:val="44"/>
        </w:rPr>
        <w:t>2022年一般公共预算支出执行情况表（类级）</w:t>
      </w:r>
      <w:bookmarkEnd w:id="1"/>
    </w:p>
    <w:p>
      <w:pPr>
        <w:rPr>
          <w:rFonts w:ascii="Times New Roman" w:hAnsi="Times New Roman" w:eastAsia="楷体_GB2312" w:cs="Times New Roman"/>
          <w:color w:val="000000" w:themeColor="text1"/>
          <w:kern w:val="0"/>
          <w:sz w:val="24"/>
          <w:szCs w:val="24"/>
        </w:rPr>
      </w:pPr>
    </w:p>
    <w:p>
      <w:pPr>
        <w:rPr>
          <w:rFonts w:ascii="Times New Roman" w:hAnsi="Times New Roman" w:eastAsia="方正小标宋简体" w:cs="Times New Roman"/>
          <w:color w:val="000000" w:themeColor="text1"/>
          <w:spacing w:val="-6"/>
          <w:kern w:val="0"/>
          <w:sz w:val="44"/>
          <w:szCs w:val="44"/>
        </w:rPr>
      </w:pPr>
      <w:r>
        <w:rPr>
          <w:rFonts w:ascii="Times New Roman" w:hAnsi="Times New Roman" w:eastAsia="楷体_GB2312" w:cs="Times New Roman"/>
          <w:color w:val="000000" w:themeColor="text1"/>
          <w:kern w:val="0"/>
          <w:sz w:val="24"/>
          <w:szCs w:val="24"/>
        </w:rPr>
        <w:t>表二                                                           单位：万元</w:t>
      </w:r>
    </w:p>
    <w:tbl>
      <w:tblPr>
        <w:tblStyle w:val="7"/>
        <w:tblW w:w="930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6"/>
        <w:gridCol w:w="1280"/>
        <w:gridCol w:w="1720"/>
        <w:gridCol w:w="1280"/>
        <w:gridCol w:w="1280"/>
        <w:gridCol w:w="11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blHeader/>
          <w:jc w:val="center"/>
        </w:trPr>
        <w:tc>
          <w:tcPr>
            <w:tcW w:w="2616"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1280"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预算数</w:t>
            </w:r>
          </w:p>
        </w:tc>
        <w:tc>
          <w:tcPr>
            <w:tcW w:w="1720"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调整后预算数</w:t>
            </w:r>
          </w:p>
        </w:tc>
        <w:tc>
          <w:tcPr>
            <w:tcW w:w="1280"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执行数</w:t>
            </w:r>
          </w:p>
        </w:tc>
        <w:tc>
          <w:tcPr>
            <w:tcW w:w="1280"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完成调整后预算%</w:t>
            </w:r>
          </w:p>
        </w:tc>
        <w:tc>
          <w:tcPr>
            <w:tcW w:w="1130"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比上年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blHeader/>
          <w:jc w:val="center"/>
        </w:trPr>
        <w:tc>
          <w:tcPr>
            <w:tcW w:w="2616" w:type="dxa"/>
            <w:vMerge w:val="continue"/>
            <w:vAlign w:val="center"/>
          </w:tcPr>
          <w:p>
            <w:pPr>
              <w:widowControl/>
              <w:jc w:val="left"/>
              <w:rPr>
                <w:rFonts w:ascii="Times New Roman" w:hAnsi="Times New Roman" w:eastAsia="黑体" w:cs="Times New Roman"/>
                <w:color w:val="000000"/>
                <w:kern w:val="0"/>
                <w:sz w:val="24"/>
                <w:szCs w:val="24"/>
              </w:rPr>
            </w:pPr>
          </w:p>
        </w:tc>
        <w:tc>
          <w:tcPr>
            <w:tcW w:w="1280" w:type="dxa"/>
            <w:vMerge w:val="continue"/>
            <w:vAlign w:val="center"/>
          </w:tcPr>
          <w:p>
            <w:pPr>
              <w:widowControl/>
              <w:jc w:val="left"/>
              <w:rPr>
                <w:rFonts w:ascii="Times New Roman" w:hAnsi="Times New Roman" w:eastAsia="黑体" w:cs="Times New Roman"/>
                <w:color w:val="000000"/>
                <w:kern w:val="0"/>
                <w:sz w:val="24"/>
                <w:szCs w:val="24"/>
              </w:rPr>
            </w:pPr>
          </w:p>
        </w:tc>
        <w:tc>
          <w:tcPr>
            <w:tcW w:w="1720" w:type="dxa"/>
            <w:vMerge w:val="continue"/>
            <w:vAlign w:val="center"/>
          </w:tcPr>
          <w:p>
            <w:pPr>
              <w:widowControl/>
              <w:jc w:val="left"/>
              <w:rPr>
                <w:rFonts w:ascii="Times New Roman" w:hAnsi="Times New Roman" w:eastAsia="黑体" w:cs="Times New Roman"/>
                <w:color w:val="000000"/>
                <w:kern w:val="0"/>
                <w:sz w:val="24"/>
                <w:szCs w:val="24"/>
              </w:rPr>
            </w:pPr>
          </w:p>
        </w:tc>
        <w:tc>
          <w:tcPr>
            <w:tcW w:w="1280" w:type="dxa"/>
            <w:vMerge w:val="continue"/>
            <w:vAlign w:val="center"/>
          </w:tcPr>
          <w:p>
            <w:pPr>
              <w:widowControl/>
              <w:jc w:val="left"/>
              <w:rPr>
                <w:rFonts w:ascii="Times New Roman" w:hAnsi="Times New Roman" w:eastAsia="黑体" w:cs="Times New Roman"/>
                <w:color w:val="000000"/>
                <w:kern w:val="0"/>
                <w:sz w:val="24"/>
                <w:szCs w:val="24"/>
              </w:rPr>
            </w:pPr>
          </w:p>
        </w:tc>
        <w:tc>
          <w:tcPr>
            <w:tcW w:w="1280" w:type="dxa"/>
            <w:vMerge w:val="continue"/>
            <w:vAlign w:val="center"/>
          </w:tcPr>
          <w:p>
            <w:pPr>
              <w:widowControl/>
              <w:jc w:val="left"/>
              <w:rPr>
                <w:rFonts w:ascii="Times New Roman" w:hAnsi="Times New Roman" w:eastAsia="黑体" w:cs="Times New Roman"/>
                <w:color w:val="000000"/>
                <w:kern w:val="0"/>
                <w:sz w:val="24"/>
                <w:szCs w:val="24"/>
              </w:rPr>
            </w:pPr>
          </w:p>
        </w:tc>
        <w:tc>
          <w:tcPr>
            <w:tcW w:w="1130" w:type="dxa"/>
            <w:vMerge w:val="continue"/>
            <w:vAlign w:val="center"/>
          </w:tcPr>
          <w:p>
            <w:pPr>
              <w:widowControl/>
              <w:jc w:val="left"/>
              <w:rPr>
                <w:rFonts w:ascii="Times New Roman" w:hAnsi="Times New Roman" w:eastAsia="黑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一、本级支出</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786231</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787231</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802597</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102.0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（一）一般公共服务支出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68792</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68792</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68455</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99.5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（二）国防支出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457</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457</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488</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106.8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（三）公共安全支出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39805</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39805</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39711</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99.8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（四）教育支出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145027</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145027</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140119</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96.6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（五）科学技术支出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6264</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6264</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6317</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100.8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（六）文化旅游体育与传媒支出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13126</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13126</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12488</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95.1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（七）社会保障和就业支出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170032</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170032</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146388</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86.1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（八）卫生健康支出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79175</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79175</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100890</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127.4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（九）节能环保支出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4915</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4915</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4867</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99.0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（十）城乡社区支出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22712</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22712</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24359</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107.3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（十一）农林水支出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82831</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82831</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77476</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93.5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（十二）交通运输支出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40228</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41228</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76567</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185.7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（十三）资源勘探工业信息等支出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37388</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37388</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44706</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119.6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（十四）商业服务业等支出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5861</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5861</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6089</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103.9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（十五）金融支出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（十五）自然资源海洋气象等支出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12273</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12273</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6623</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54.0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（十六）住房保障支出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6937</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6937</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12262</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176.8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（十七）粮油物资储备支出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743</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743</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521</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70.1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（十八）灾害防治及应急管理支出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4161</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4161</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4813</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115.7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（十九）预备费</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8000</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8000</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（二十）其他支出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30854</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30854</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22836</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74.0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（二十一）债务付息支出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6600</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6600</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6561</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99.4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（二十二）债务发行费支出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60.0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二、预计转移性支出</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146333</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146333</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198286</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（一）上解上级支出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96000</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96000</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96000</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（二）援助其他地区支出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820</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（三）安排预算稳定调节基金</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16000</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（四）地方政府一般债务还本支出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34900</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34900</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35089</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（五）结转下年支出</w:t>
            </w:r>
          </w:p>
        </w:tc>
        <w:tc>
          <w:tcPr>
            <w:tcW w:w="12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14433</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14433</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50377</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616" w:type="dxa"/>
            <w:shd w:val="clear" w:color="auto" w:fill="auto"/>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支出合计</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932564</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933564</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1000883</w:t>
            </w:r>
          </w:p>
        </w:tc>
        <w:tc>
          <w:tcPr>
            <w:tcW w:w="12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3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bookmarkStart w:id="2" w:name="RANGE!A1:F567"/>
      <w:r>
        <w:rPr>
          <w:rFonts w:ascii="Times New Roman" w:hAnsi="Times New Roman" w:eastAsia="方正小标宋简体" w:cs="Times New Roman"/>
          <w:color w:val="000000"/>
          <w:kern w:val="0"/>
          <w:sz w:val="44"/>
          <w:szCs w:val="44"/>
        </w:rPr>
        <w:t>2022年一般公共预算支出执行情况表</w:t>
      </w:r>
      <w:bookmarkEnd w:id="2"/>
    </w:p>
    <w:p>
      <w:pPr>
        <w:rPr>
          <w:rFonts w:ascii="Times New Roman" w:hAnsi="Times New Roman" w:eastAsia="楷体_GB2312" w:cs="Times New Roman"/>
          <w:color w:val="000000" w:themeColor="text1"/>
          <w:kern w:val="0"/>
          <w:sz w:val="24"/>
          <w:szCs w:val="2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表三                                                          单位：万元</w:t>
      </w:r>
    </w:p>
    <w:tbl>
      <w:tblPr>
        <w:tblStyle w:val="7"/>
        <w:tblW w:w="93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0"/>
        <w:gridCol w:w="1120"/>
        <w:gridCol w:w="1120"/>
        <w:gridCol w:w="1120"/>
        <w:gridCol w:w="1240"/>
        <w:gridCol w:w="10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tblHeader/>
          <w:jc w:val="center"/>
        </w:trPr>
        <w:tc>
          <w:tcPr>
            <w:tcW w:w="3740"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支  出  科  目</w:t>
            </w:r>
          </w:p>
        </w:tc>
        <w:tc>
          <w:tcPr>
            <w:tcW w:w="1120"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预算数</w:t>
            </w:r>
          </w:p>
        </w:tc>
        <w:tc>
          <w:tcPr>
            <w:tcW w:w="1120"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调整后预算数</w:t>
            </w:r>
          </w:p>
        </w:tc>
        <w:tc>
          <w:tcPr>
            <w:tcW w:w="1120"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执行数</w:t>
            </w:r>
          </w:p>
        </w:tc>
        <w:tc>
          <w:tcPr>
            <w:tcW w:w="1240"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完成调整后预算%</w:t>
            </w:r>
          </w:p>
        </w:tc>
        <w:tc>
          <w:tcPr>
            <w:tcW w:w="1000"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比上年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blHeader/>
          <w:jc w:val="center"/>
        </w:trPr>
        <w:tc>
          <w:tcPr>
            <w:tcW w:w="3740" w:type="dxa"/>
            <w:vMerge w:val="continue"/>
            <w:vAlign w:val="center"/>
          </w:tcPr>
          <w:p>
            <w:pPr>
              <w:widowControl/>
              <w:jc w:val="left"/>
              <w:rPr>
                <w:rFonts w:ascii="Times New Roman" w:hAnsi="Times New Roman" w:eastAsia="黑体" w:cs="Times New Roman"/>
                <w:color w:val="000000"/>
                <w:kern w:val="0"/>
                <w:sz w:val="24"/>
                <w:szCs w:val="24"/>
              </w:rPr>
            </w:pPr>
          </w:p>
        </w:tc>
        <w:tc>
          <w:tcPr>
            <w:tcW w:w="1120" w:type="dxa"/>
            <w:vMerge w:val="continue"/>
            <w:vAlign w:val="center"/>
          </w:tcPr>
          <w:p>
            <w:pPr>
              <w:widowControl/>
              <w:jc w:val="left"/>
              <w:rPr>
                <w:rFonts w:ascii="Times New Roman" w:hAnsi="Times New Roman" w:eastAsia="黑体" w:cs="Times New Roman"/>
                <w:color w:val="000000"/>
                <w:kern w:val="0"/>
                <w:sz w:val="24"/>
                <w:szCs w:val="24"/>
              </w:rPr>
            </w:pPr>
          </w:p>
        </w:tc>
        <w:tc>
          <w:tcPr>
            <w:tcW w:w="1120" w:type="dxa"/>
            <w:vMerge w:val="continue"/>
            <w:vAlign w:val="center"/>
          </w:tcPr>
          <w:p>
            <w:pPr>
              <w:widowControl/>
              <w:jc w:val="left"/>
              <w:rPr>
                <w:rFonts w:ascii="Times New Roman" w:hAnsi="Times New Roman" w:eastAsia="黑体" w:cs="Times New Roman"/>
                <w:color w:val="000000"/>
                <w:kern w:val="0"/>
                <w:sz w:val="24"/>
                <w:szCs w:val="24"/>
              </w:rPr>
            </w:pPr>
          </w:p>
        </w:tc>
        <w:tc>
          <w:tcPr>
            <w:tcW w:w="1120" w:type="dxa"/>
            <w:vMerge w:val="continue"/>
            <w:vAlign w:val="center"/>
          </w:tcPr>
          <w:p>
            <w:pPr>
              <w:widowControl/>
              <w:jc w:val="left"/>
              <w:rPr>
                <w:rFonts w:ascii="Times New Roman" w:hAnsi="Times New Roman" w:eastAsia="黑体" w:cs="Times New Roman"/>
                <w:color w:val="000000"/>
                <w:kern w:val="0"/>
                <w:sz w:val="24"/>
                <w:szCs w:val="24"/>
              </w:rPr>
            </w:pPr>
          </w:p>
        </w:tc>
        <w:tc>
          <w:tcPr>
            <w:tcW w:w="1240" w:type="dxa"/>
            <w:vMerge w:val="continue"/>
            <w:vAlign w:val="center"/>
          </w:tcPr>
          <w:p>
            <w:pPr>
              <w:widowControl/>
              <w:jc w:val="left"/>
              <w:rPr>
                <w:rFonts w:ascii="Times New Roman" w:hAnsi="Times New Roman" w:eastAsia="黑体" w:cs="Times New Roman"/>
                <w:color w:val="000000"/>
                <w:kern w:val="0"/>
                <w:sz w:val="24"/>
                <w:szCs w:val="24"/>
              </w:rPr>
            </w:pPr>
          </w:p>
        </w:tc>
        <w:tc>
          <w:tcPr>
            <w:tcW w:w="1000" w:type="dxa"/>
            <w:vMerge w:val="continue"/>
            <w:vAlign w:val="center"/>
          </w:tcPr>
          <w:p>
            <w:pPr>
              <w:widowControl/>
              <w:jc w:val="left"/>
              <w:rPr>
                <w:rFonts w:ascii="Times New Roman" w:hAnsi="Times New Roman" w:eastAsia="黑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合计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786231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787231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802597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一、一般公共服务支出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68792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68792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68455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人大事务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127.7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人大会议</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人大代表履职能力提升</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代表工作</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其他人大事务支出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政协事务</w:t>
            </w:r>
          </w:p>
        </w:tc>
        <w:tc>
          <w:tcPr>
            <w:tcW w:w="112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1576</w:t>
            </w:r>
          </w:p>
        </w:tc>
        <w:tc>
          <w:tcPr>
            <w:tcW w:w="112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1576</w:t>
            </w:r>
          </w:p>
        </w:tc>
        <w:tc>
          <w:tcPr>
            <w:tcW w:w="112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政协会议</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委员视察</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参政议政</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其他政协事务支出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政府办公厅（室）及相关机构事务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23079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23079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26155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113.3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18871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18871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18424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机关服务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5124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316.5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政务公开审批</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445.6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信访事务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533.3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其他政府办公厅（室）及相关机构事务支出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发展与改革事务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2354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物价管理</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其他发展与改革事务支出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统计信息事务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专项统计业务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专项普查活动</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统计抽样调查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3749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3749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3722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2702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2702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2622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其他财政事务支出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税收事务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5159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5159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4585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5039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5039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4466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税收业务</w:t>
            </w:r>
          </w:p>
        </w:tc>
        <w:tc>
          <w:tcPr>
            <w:tcW w:w="1120" w:type="dxa"/>
            <w:shd w:val="clear" w:color="auto" w:fill="auto"/>
            <w:noWrap/>
            <w:vAlign w:val="center"/>
          </w:tcPr>
          <w:p>
            <w:pPr>
              <w:widowControl/>
              <w:jc w:val="center"/>
              <w:rPr>
                <w:rFonts w:ascii="Times New Roman" w:hAnsi="Times New Roman" w:eastAsia="宋体" w:cs="Times New Roman"/>
                <w:color w:val="FF0000"/>
                <w:kern w:val="0"/>
                <w:sz w:val="24"/>
                <w:szCs w:val="24"/>
              </w:rPr>
            </w:pPr>
            <w:r>
              <w:rPr>
                <w:rFonts w:ascii="Times New Roman" w:hAnsi="Times New Roman" w:eastAsia="宋体" w:cs="Times New Roman"/>
                <w:color w:val="FF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其他税收事务支出</w:t>
            </w:r>
          </w:p>
        </w:tc>
        <w:tc>
          <w:tcPr>
            <w:tcW w:w="1120"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审计事务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审计业务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审计管理</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其他审计事务支出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纪检监察事务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3544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3544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3432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3333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3333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大案要案查处</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派驻派出机构</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巡视工作</w:t>
            </w:r>
          </w:p>
        </w:tc>
        <w:tc>
          <w:tcPr>
            <w:tcW w:w="1120" w:type="dxa"/>
            <w:shd w:val="clear" w:color="auto" w:fill="auto"/>
            <w:noWrap/>
            <w:vAlign w:val="center"/>
          </w:tcPr>
          <w:p>
            <w:pPr>
              <w:widowControl/>
              <w:ind w:firstLine="720" w:firstLineChars="300"/>
              <w:jc w:val="left"/>
              <w:rPr>
                <w:rFonts w:ascii="Times New Roman" w:hAnsi="Times New Roman" w:eastAsia="宋体" w:cs="Times New Roman"/>
                <w:color w:val="000000"/>
                <w:kern w:val="0"/>
                <w:sz w:val="24"/>
                <w:szCs w:val="24"/>
              </w:rPr>
            </w:pP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其他纪检监察事务支出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商贸事务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1993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招商引资</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其他商贸事务支出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114.3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民族事务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其他民族事务支出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港澳台事务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港澳事务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其他港澳台事务支出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档案事务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137.2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档案馆</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1055.0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民主党派及工商联事务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其他民主党派及工商联事务支出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群众团体事务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其他群众团体事务支出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党委办公厅（室）及相关机构事务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1741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114.8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专项业务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133.3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其他党委办公厅（室）及相关机构事务支出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149.7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组织事务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2575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168.2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公务员事务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其他组织事务支出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418.2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宣传事务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2132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2132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其他宣传事务支出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统战事务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宗教事务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其他统战事务支出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其他共产党事务支出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3767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3767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3948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1733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109.2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3666.7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其他共产党事务支出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1273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1273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市场监督管理事务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7759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7759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8110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4947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4947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4816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质量基础</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其他市场监督管理事务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2068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2068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2531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122.4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其他一般公共服务支出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其他一般公共服务支出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二、国防支出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国防动员</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117.9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兵役征集</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人民防空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国防教育</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预备役部队</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民兵</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142.4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其他国防支出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其他国防支出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三、公共安全支出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39805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39805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39711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武装警察部队</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武装警察部队</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公安</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27056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27056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29013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17592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17592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17214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6245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6245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6557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105.0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信息化建设</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执法办案</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2121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123.1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特别业务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18.8 </w:t>
            </w:r>
          </w:p>
        </w:tc>
      </w:tr>
      <w:tr>
        <w:tblPrEx>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其他公安支出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1477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1477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检察</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2512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2512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2366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1764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其他检察支出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法院</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5934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5934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6082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4080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4080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3970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案件审判</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125.1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其他法院支出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司法</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2237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1741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基层司法业务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1320.0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普法宣传</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公共法律服务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230.2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社区矫正</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法制建设</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其他司法支出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其他公共安全支出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其他公共安全支出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四、教育支出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145027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145027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140119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教育管理事务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其他教育管理事务支出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普通教育</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120614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120614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120972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学前教育</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8055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8055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7974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小学教育</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42944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42944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43970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初中教育</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36476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36476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36301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高中教育</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17813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17813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17795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其他普通教育支出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15326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15326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14932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职业教育</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9228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9228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8476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中等职业教育</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5482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5482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4851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技校教育</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1637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其他职业教育支出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1988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成人教育</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其他成人教育支出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广播电视教育</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广播电视学校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特殊教育</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特殊学校教育</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进修及培训</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1662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110.8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教师进修</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干部教育</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117.1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教育费附加安排的支出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8555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8555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6933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740" w:type="dxa"/>
            <w:shd w:val="clear" w:color="auto" w:fill="auto"/>
            <w:vAlign w:val="center"/>
          </w:tcPr>
          <w:p>
            <w:pPr>
              <w:widowControl/>
              <w:ind w:firstLine="696" w:firstLineChars="300"/>
              <w:jc w:val="left"/>
              <w:rPr>
                <w:rFonts w:ascii="Times New Roman" w:hAnsi="Times New Roman" w:eastAsia="宋体" w:cs="Times New Roman"/>
                <w:color w:val="000000"/>
                <w:spacing w:val="-4"/>
                <w:kern w:val="0"/>
                <w:sz w:val="24"/>
                <w:szCs w:val="24"/>
              </w:rPr>
            </w:pPr>
            <w:r>
              <w:rPr>
                <w:rFonts w:ascii="Times New Roman" w:hAnsi="Times New Roman" w:eastAsia="宋体" w:cs="Times New Roman"/>
                <w:color w:val="000000"/>
                <w:spacing w:val="-4"/>
                <w:kern w:val="0"/>
                <w:sz w:val="24"/>
                <w:szCs w:val="24"/>
              </w:rPr>
              <w:t>其他教育费附加安排的支出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8555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8555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6933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其他教育支出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其他教育支出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五、科学技术支出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6264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6264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6317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科学技术管理事务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基础研究</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机构运行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应用研究</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机构运行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技术研究与开发</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4336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4336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3946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其他技术研究与开发支出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4336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4336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3946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科学技术普及</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122.8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科普活动</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122.8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科技馆站</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其他科学技术普及支出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其他科学技术支出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181.8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科技奖励</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其他科学技术支出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1266.3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374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六、文化旅游体育与传媒支出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13126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13126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12488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文化和旅游</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6790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6790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6360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图书馆</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艺术表演场所</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118.2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艺术表演团体</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159.2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文化活动</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群众文化</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117.8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文化创作与保护</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旅游宣传</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文化和旅游管理事务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其他文化和旅游支出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3656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3656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2830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文物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4276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4276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2724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文物保护</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3935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3935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博物馆</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历史名城与古迹</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体育</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体育场馆</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其他体育支出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新闻出版电影</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其他新闻出版电影支出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广播电视</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160.4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广播电视事务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1477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157.0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其他广播电视支出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178.0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3740" w:type="dxa"/>
            <w:shd w:val="clear" w:color="auto" w:fill="auto"/>
            <w:vAlign w:val="center"/>
          </w:tcPr>
          <w:p>
            <w:pPr>
              <w:widowControl/>
              <w:ind w:firstLine="448" w:firstLineChars="200"/>
              <w:rPr>
                <w:rFonts w:ascii="Times New Roman" w:hAnsi="Times New Roman" w:eastAsia="宋体" w:cs="Times New Roman"/>
                <w:color w:val="000000"/>
                <w:spacing w:val="-8"/>
                <w:kern w:val="0"/>
                <w:sz w:val="24"/>
                <w:szCs w:val="24"/>
              </w:rPr>
            </w:pPr>
            <w:r>
              <w:rPr>
                <w:rFonts w:ascii="Times New Roman" w:hAnsi="Times New Roman" w:eastAsia="宋体" w:cs="Times New Roman"/>
                <w:color w:val="000000"/>
                <w:spacing w:val="-8"/>
                <w:kern w:val="0"/>
                <w:sz w:val="24"/>
                <w:szCs w:val="24"/>
              </w:rPr>
              <w:t>其他文化旅游体育与传媒支出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183.7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宣传文化发展专项支出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其他文化旅游体育与传媒支出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194.3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七、社会保障和就业支出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170032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170032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146388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740" w:type="dxa"/>
            <w:shd w:val="clear" w:color="auto" w:fill="auto"/>
            <w:vAlign w:val="center"/>
          </w:tcPr>
          <w:p>
            <w:pPr>
              <w:widowControl/>
              <w:ind w:firstLine="448" w:firstLineChars="200"/>
              <w:jc w:val="left"/>
              <w:rPr>
                <w:rFonts w:ascii="Times New Roman" w:hAnsi="Times New Roman" w:eastAsia="宋体" w:cs="Times New Roman"/>
                <w:color w:val="000000"/>
                <w:spacing w:val="-8"/>
                <w:kern w:val="0"/>
                <w:sz w:val="24"/>
                <w:szCs w:val="24"/>
              </w:rPr>
            </w:pPr>
            <w:r>
              <w:rPr>
                <w:rFonts w:ascii="Times New Roman" w:hAnsi="Times New Roman" w:eastAsia="宋体" w:cs="Times New Roman"/>
                <w:color w:val="000000"/>
                <w:spacing w:val="-8"/>
                <w:kern w:val="0"/>
                <w:sz w:val="24"/>
                <w:szCs w:val="24"/>
              </w:rPr>
              <w:t>人力资源和社会保障管理事务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4053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4053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4109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劳动保障监察</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信息化建设</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社会保险经办机构</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1970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1970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劳动关系和维权</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105.8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劳动人事争议调解仲裁</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其他人力资源和社会保障管理事务支出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115.0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民政管理事务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2481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2481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2461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社会组织管理</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行政区划和地名管理</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基层政权建设和社区治理</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其他民政管理事务支出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1975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行政事业单位养老支出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41272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41272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42121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行政单位离退休</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离退休人员管理机构</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146.2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2" w:hRule="atLeast"/>
          <w:jc w:val="center"/>
        </w:trPr>
        <w:tc>
          <w:tcPr>
            <w:tcW w:w="3740" w:type="dxa"/>
            <w:shd w:val="clear" w:color="auto" w:fill="auto"/>
            <w:vAlign w:val="center"/>
          </w:tcPr>
          <w:p>
            <w:pPr>
              <w:widowControl/>
              <w:spacing w:line="280" w:lineRule="exact"/>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机关事业单位职业年金缴费支出</w:t>
            </w:r>
          </w:p>
        </w:tc>
        <w:tc>
          <w:tcPr>
            <w:tcW w:w="1120" w:type="dxa"/>
            <w:shd w:val="clear" w:color="auto" w:fill="auto"/>
            <w:noWrap/>
            <w:vAlign w:val="center"/>
          </w:tcPr>
          <w:p>
            <w:pPr>
              <w:widowControl/>
              <w:spacing w:line="240" w:lineRule="exac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spacing w:line="240" w:lineRule="exac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spacing w:line="240" w:lineRule="exac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147</w:t>
            </w:r>
          </w:p>
        </w:tc>
        <w:tc>
          <w:tcPr>
            <w:tcW w:w="1240" w:type="dxa"/>
            <w:shd w:val="clear" w:color="auto" w:fill="auto"/>
            <w:noWrap/>
            <w:vAlign w:val="center"/>
          </w:tcPr>
          <w:p>
            <w:pPr>
              <w:widowControl/>
              <w:spacing w:line="240" w:lineRule="exac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spacing w:line="240" w:lineRule="exac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740" w:type="dxa"/>
            <w:shd w:val="clear" w:color="auto" w:fill="auto"/>
            <w:vAlign w:val="center"/>
          </w:tcPr>
          <w:p>
            <w:pPr>
              <w:widowControl/>
              <w:spacing w:line="280" w:lineRule="exact"/>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对机关事业单位基本养老保险基金的补助</w:t>
            </w:r>
          </w:p>
        </w:tc>
        <w:tc>
          <w:tcPr>
            <w:tcW w:w="1120" w:type="dxa"/>
            <w:shd w:val="clear" w:color="auto" w:fill="auto"/>
            <w:noWrap/>
            <w:vAlign w:val="center"/>
          </w:tcPr>
          <w:p>
            <w:pPr>
              <w:widowControl/>
              <w:spacing w:line="240" w:lineRule="exac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40802</w:t>
            </w:r>
          </w:p>
        </w:tc>
        <w:tc>
          <w:tcPr>
            <w:tcW w:w="1120" w:type="dxa"/>
            <w:shd w:val="clear" w:color="auto" w:fill="auto"/>
            <w:noWrap/>
            <w:vAlign w:val="center"/>
          </w:tcPr>
          <w:p>
            <w:pPr>
              <w:widowControl/>
              <w:spacing w:line="240" w:lineRule="exac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40802</w:t>
            </w:r>
          </w:p>
        </w:tc>
        <w:tc>
          <w:tcPr>
            <w:tcW w:w="1120" w:type="dxa"/>
            <w:shd w:val="clear" w:color="auto" w:fill="auto"/>
            <w:noWrap/>
            <w:vAlign w:val="center"/>
          </w:tcPr>
          <w:p>
            <w:pPr>
              <w:widowControl/>
              <w:spacing w:line="240" w:lineRule="exac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41534</w:t>
            </w:r>
          </w:p>
        </w:tc>
        <w:tc>
          <w:tcPr>
            <w:tcW w:w="1240" w:type="dxa"/>
            <w:shd w:val="clear" w:color="auto" w:fill="auto"/>
            <w:noWrap/>
            <w:vAlign w:val="center"/>
          </w:tcPr>
          <w:p>
            <w:pPr>
              <w:widowControl/>
              <w:spacing w:line="240" w:lineRule="exac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101.8 </w:t>
            </w:r>
          </w:p>
        </w:tc>
        <w:tc>
          <w:tcPr>
            <w:tcW w:w="1000" w:type="dxa"/>
            <w:shd w:val="clear" w:color="auto" w:fill="auto"/>
            <w:noWrap/>
            <w:vAlign w:val="center"/>
          </w:tcPr>
          <w:p>
            <w:pPr>
              <w:widowControl/>
              <w:spacing w:line="240" w:lineRule="exac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企业改革补助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企业关闭破产补助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-35.2 </w:t>
            </w:r>
          </w:p>
        </w:tc>
      </w:tr>
      <w:tr>
        <w:tblPrEx>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就业补助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138.9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就业创业服务补贴</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社会保险补贴</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其他就业补助支出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138.9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抚恤</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7374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7374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7378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死亡抚恤</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111.8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义务兵优待</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1685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1685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1584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其他优抚支出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4489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4489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4452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退役安置</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1951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退役士兵安置</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740" w:type="dxa"/>
            <w:shd w:val="clear" w:color="auto" w:fill="auto"/>
            <w:vAlign w:val="center"/>
          </w:tcPr>
          <w:p>
            <w:pPr>
              <w:widowControl/>
              <w:spacing w:line="240" w:lineRule="exact"/>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军队移交政府的离退休人员安置</w:t>
            </w:r>
          </w:p>
        </w:tc>
        <w:tc>
          <w:tcPr>
            <w:tcW w:w="1120" w:type="dxa"/>
            <w:shd w:val="clear" w:color="auto" w:fill="auto"/>
            <w:noWrap/>
            <w:vAlign w:val="center"/>
          </w:tcPr>
          <w:p>
            <w:pPr>
              <w:widowControl/>
              <w:spacing w:line="240" w:lineRule="exac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w:t>
            </w:r>
          </w:p>
        </w:tc>
        <w:tc>
          <w:tcPr>
            <w:tcW w:w="1120" w:type="dxa"/>
            <w:shd w:val="clear" w:color="auto" w:fill="auto"/>
            <w:noWrap/>
            <w:vAlign w:val="center"/>
          </w:tcPr>
          <w:p>
            <w:pPr>
              <w:widowControl/>
              <w:spacing w:line="240" w:lineRule="exac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w:t>
            </w:r>
          </w:p>
        </w:tc>
        <w:tc>
          <w:tcPr>
            <w:tcW w:w="1120" w:type="dxa"/>
            <w:shd w:val="clear" w:color="auto" w:fill="auto"/>
            <w:noWrap/>
            <w:vAlign w:val="center"/>
          </w:tcPr>
          <w:p>
            <w:pPr>
              <w:widowControl/>
              <w:spacing w:line="240" w:lineRule="exac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w:t>
            </w:r>
          </w:p>
        </w:tc>
        <w:tc>
          <w:tcPr>
            <w:tcW w:w="1240" w:type="dxa"/>
            <w:shd w:val="clear" w:color="auto" w:fill="auto"/>
            <w:noWrap/>
            <w:vAlign w:val="center"/>
          </w:tcPr>
          <w:p>
            <w:pPr>
              <w:widowControl/>
              <w:spacing w:line="240" w:lineRule="exac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88.8 </w:t>
            </w:r>
          </w:p>
        </w:tc>
        <w:tc>
          <w:tcPr>
            <w:tcW w:w="1000" w:type="dxa"/>
            <w:shd w:val="clear" w:color="auto" w:fill="auto"/>
            <w:noWrap/>
            <w:vAlign w:val="center"/>
          </w:tcPr>
          <w:p>
            <w:pPr>
              <w:widowControl/>
              <w:spacing w:line="240" w:lineRule="exac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740" w:type="dxa"/>
            <w:shd w:val="clear" w:color="auto" w:fill="auto"/>
            <w:vAlign w:val="center"/>
          </w:tcPr>
          <w:p>
            <w:pPr>
              <w:widowControl/>
              <w:spacing w:line="280" w:lineRule="exact"/>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军队移交政府离退休干部管理机构</w:t>
            </w:r>
          </w:p>
        </w:tc>
        <w:tc>
          <w:tcPr>
            <w:tcW w:w="1120" w:type="dxa"/>
            <w:shd w:val="clear" w:color="auto" w:fill="auto"/>
            <w:noWrap/>
            <w:vAlign w:val="center"/>
          </w:tcPr>
          <w:p>
            <w:pPr>
              <w:widowControl/>
              <w:spacing w:line="240" w:lineRule="exac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120" w:type="dxa"/>
            <w:shd w:val="clear" w:color="auto" w:fill="auto"/>
            <w:noWrap/>
            <w:vAlign w:val="center"/>
          </w:tcPr>
          <w:p>
            <w:pPr>
              <w:widowControl/>
              <w:spacing w:line="240" w:lineRule="exac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120" w:type="dxa"/>
            <w:shd w:val="clear" w:color="auto" w:fill="auto"/>
            <w:noWrap/>
            <w:vAlign w:val="center"/>
          </w:tcPr>
          <w:p>
            <w:pPr>
              <w:widowControl/>
              <w:spacing w:line="240" w:lineRule="exac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w:t>
            </w:r>
          </w:p>
        </w:tc>
        <w:tc>
          <w:tcPr>
            <w:tcW w:w="1240" w:type="dxa"/>
            <w:shd w:val="clear" w:color="auto" w:fill="auto"/>
            <w:noWrap/>
            <w:vAlign w:val="center"/>
          </w:tcPr>
          <w:p>
            <w:pPr>
              <w:widowControl/>
              <w:spacing w:line="240" w:lineRule="exac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109.6 </w:t>
            </w:r>
          </w:p>
        </w:tc>
        <w:tc>
          <w:tcPr>
            <w:tcW w:w="1000" w:type="dxa"/>
            <w:shd w:val="clear" w:color="auto" w:fill="auto"/>
            <w:noWrap/>
            <w:vAlign w:val="center"/>
          </w:tcPr>
          <w:p>
            <w:pPr>
              <w:widowControl/>
              <w:spacing w:line="240" w:lineRule="exac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退役士兵管理教育</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其他退役安置支出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社会福利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5680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5680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5492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儿童福利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110.6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老年福利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殡葬</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110.1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社会福利事业单位</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162.9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养老服务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2685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2685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残疾人事业</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5153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5153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5317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残疾人康复</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残疾人就业和扶贫</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残疾人体育</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残疾人生活和护理补贴</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3374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3374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3671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其他残疾人事业支出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红十字事业</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203.2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其他红十字事业支出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789.7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最低生活保障</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9364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农村最低生活保障金支出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9364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临时救助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169.3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临时救助支出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190.2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流浪乞讨人员救助支出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特困人员救助供养</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167.3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672" w:firstLineChars="300"/>
              <w:jc w:val="left"/>
              <w:rPr>
                <w:rFonts w:ascii="Times New Roman" w:hAnsi="Times New Roman" w:eastAsia="宋体" w:cs="Times New Roman"/>
                <w:color w:val="000000"/>
                <w:spacing w:val="-8"/>
                <w:kern w:val="0"/>
                <w:sz w:val="24"/>
                <w:szCs w:val="24"/>
              </w:rPr>
            </w:pPr>
            <w:r>
              <w:rPr>
                <w:rFonts w:ascii="Times New Roman" w:hAnsi="Times New Roman" w:eastAsia="宋体" w:cs="Times New Roman"/>
                <w:color w:val="000000"/>
                <w:spacing w:val="-8"/>
                <w:kern w:val="0"/>
                <w:sz w:val="24"/>
                <w:szCs w:val="24"/>
              </w:rPr>
              <w:t>农村特困人员救助供养支出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167.3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其他生活救助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2921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2921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3122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其他城市生活救助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其他农村生活救助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2221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2221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2422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109.0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财政对基本养老保险基金的补助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39980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39980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41849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财政对城乡居民基本养老保险基金的补助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39980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39980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41849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财政对其他社会保险基金的补助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740" w:type="dxa"/>
            <w:shd w:val="clear" w:color="auto" w:fill="auto"/>
            <w:vAlign w:val="center"/>
          </w:tcPr>
          <w:p>
            <w:pPr>
              <w:widowControl/>
              <w:ind w:firstLine="672" w:firstLineChars="300"/>
              <w:jc w:val="left"/>
              <w:rPr>
                <w:rFonts w:ascii="Times New Roman" w:hAnsi="Times New Roman" w:eastAsia="宋体" w:cs="Times New Roman"/>
                <w:color w:val="000000"/>
                <w:spacing w:val="-8"/>
                <w:kern w:val="0"/>
                <w:sz w:val="24"/>
                <w:szCs w:val="24"/>
              </w:rPr>
            </w:pPr>
            <w:r>
              <w:rPr>
                <w:rFonts w:ascii="Times New Roman" w:hAnsi="Times New Roman" w:eastAsia="宋体" w:cs="Times New Roman"/>
                <w:color w:val="000000"/>
                <w:spacing w:val="-8"/>
                <w:kern w:val="0"/>
                <w:sz w:val="24"/>
                <w:szCs w:val="24"/>
              </w:rPr>
              <w:t>财政对工伤保险基金的补助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其他财政对社会保险基金的补助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7"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退役军人管理事务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7"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7" w:hRule="atLeast"/>
          <w:jc w:val="center"/>
        </w:trPr>
        <w:tc>
          <w:tcPr>
            <w:tcW w:w="3740" w:type="dxa"/>
            <w:shd w:val="clear" w:color="auto" w:fill="auto"/>
            <w:vAlign w:val="center"/>
          </w:tcPr>
          <w:p>
            <w:pPr>
              <w:widowControl/>
              <w:ind w:firstLine="672" w:firstLineChars="300"/>
              <w:jc w:val="left"/>
              <w:rPr>
                <w:rFonts w:ascii="Times New Roman" w:hAnsi="Times New Roman" w:eastAsia="宋体" w:cs="Times New Roman"/>
                <w:color w:val="000000"/>
                <w:spacing w:val="-8"/>
                <w:kern w:val="0"/>
                <w:sz w:val="24"/>
                <w:szCs w:val="24"/>
              </w:rPr>
            </w:pPr>
            <w:r>
              <w:rPr>
                <w:rFonts w:ascii="Times New Roman" w:hAnsi="Times New Roman" w:eastAsia="宋体" w:cs="Times New Roman"/>
                <w:color w:val="000000"/>
                <w:spacing w:val="-8"/>
                <w:kern w:val="0"/>
                <w:sz w:val="24"/>
                <w:szCs w:val="24"/>
              </w:rPr>
              <w:t>其他退役军人事务管理支出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7"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财政代缴社会保险费支出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财政代缴城乡居民基本养老保险费支出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财政代缴其他社会保险费支出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其他社会保障和就业支出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44648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44648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16548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其他社会保障和就业支出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44648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44648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16548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八、卫生健康支出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79175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79175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100890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127.4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卫生健康管理事务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1290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1290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740" w:type="dxa"/>
            <w:shd w:val="clear" w:color="auto" w:fill="auto"/>
            <w:vAlign w:val="center"/>
          </w:tcPr>
          <w:p>
            <w:pPr>
              <w:widowControl/>
              <w:ind w:firstLine="672" w:firstLineChars="300"/>
              <w:jc w:val="left"/>
              <w:rPr>
                <w:rFonts w:ascii="Times New Roman" w:hAnsi="Times New Roman" w:eastAsia="宋体" w:cs="Times New Roman"/>
                <w:color w:val="000000"/>
                <w:spacing w:val="-8"/>
                <w:kern w:val="0"/>
                <w:sz w:val="24"/>
                <w:szCs w:val="24"/>
              </w:rPr>
            </w:pPr>
            <w:r>
              <w:rPr>
                <w:rFonts w:ascii="Times New Roman" w:hAnsi="Times New Roman" w:eastAsia="宋体" w:cs="Times New Roman"/>
                <w:color w:val="000000"/>
                <w:spacing w:val="-8"/>
                <w:kern w:val="0"/>
                <w:sz w:val="24"/>
                <w:szCs w:val="24"/>
              </w:rPr>
              <w:t>其他卫生健康管理事务支出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公立医院</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2954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2954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2946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综合医院</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1328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1328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中医（民族）医院</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其他公立医院支出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基层医疗卫生机构</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5980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5980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4932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乡镇卫生院</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4948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4948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3859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672" w:firstLineChars="300"/>
              <w:jc w:val="left"/>
              <w:rPr>
                <w:rFonts w:ascii="Times New Roman" w:hAnsi="Times New Roman" w:eastAsia="宋体" w:cs="Times New Roman"/>
                <w:color w:val="000000"/>
                <w:spacing w:val="-8"/>
                <w:kern w:val="0"/>
                <w:sz w:val="24"/>
                <w:szCs w:val="24"/>
              </w:rPr>
            </w:pPr>
            <w:r>
              <w:rPr>
                <w:rFonts w:ascii="Times New Roman" w:hAnsi="Times New Roman" w:eastAsia="宋体" w:cs="Times New Roman"/>
                <w:color w:val="000000"/>
                <w:spacing w:val="-8"/>
                <w:kern w:val="0"/>
                <w:sz w:val="24"/>
                <w:szCs w:val="24"/>
              </w:rPr>
              <w:t>其他基层医疗卫生机构支出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公共卫生</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9605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9605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36444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379.4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疾病预防控制机构</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卫生监督机构</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妇幼保健机构</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187.9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精神卫生机构</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2143.8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3330.0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应急救治机构</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采供血机构</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112.3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基本公共卫生服务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5896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5896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5783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重大公共卫生服务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3740" w:type="dxa"/>
            <w:shd w:val="clear" w:color="auto" w:fill="auto"/>
            <w:vAlign w:val="center"/>
          </w:tcPr>
          <w:p>
            <w:pPr>
              <w:widowControl/>
              <w:ind w:firstLine="672" w:firstLineChars="300"/>
              <w:jc w:val="left"/>
              <w:rPr>
                <w:rFonts w:ascii="Times New Roman" w:hAnsi="Times New Roman" w:eastAsia="宋体" w:cs="Times New Roman"/>
                <w:color w:val="000000"/>
                <w:spacing w:val="-8"/>
                <w:kern w:val="0"/>
                <w:sz w:val="24"/>
                <w:szCs w:val="24"/>
              </w:rPr>
            </w:pPr>
            <w:r>
              <w:rPr>
                <w:rFonts w:ascii="Times New Roman" w:hAnsi="Times New Roman" w:eastAsia="宋体" w:cs="Times New Roman"/>
                <w:color w:val="000000"/>
                <w:spacing w:val="-8"/>
                <w:kern w:val="0"/>
                <w:sz w:val="24"/>
                <w:szCs w:val="24"/>
              </w:rPr>
              <w:t>突发公共卫生事件应急处理</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25628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4593.8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其他公共卫生支出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12680.0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中医药</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8851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8851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8511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其他中医药支出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8851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8851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8511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计划生育事务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2597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123.7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计划生育机构</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计划生育服务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2597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123.7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其他计划生育事务支出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行政事业单位医疗</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11465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11465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11261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行政单位医疗</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1945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事业单位医疗</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6271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6271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6016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公务员医疗补助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2735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2735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2735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740" w:type="dxa"/>
            <w:shd w:val="clear" w:color="auto" w:fill="auto"/>
            <w:vAlign w:val="center"/>
          </w:tcPr>
          <w:p>
            <w:pPr>
              <w:widowControl/>
              <w:ind w:firstLine="672" w:firstLineChars="300"/>
              <w:jc w:val="left"/>
              <w:rPr>
                <w:rFonts w:ascii="Times New Roman" w:hAnsi="Times New Roman" w:eastAsia="宋体" w:cs="Times New Roman"/>
                <w:color w:val="000000"/>
                <w:spacing w:val="-8"/>
                <w:kern w:val="0"/>
                <w:sz w:val="24"/>
                <w:szCs w:val="24"/>
              </w:rPr>
            </w:pPr>
            <w:r>
              <w:rPr>
                <w:rFonts w:ascii="Times New Roman" w:hAnsi="Times New Roman" w:eastAsia="宋体" w:cs="Times New Roman"/>
                <w:color w:val="000000"/>
                <w:spacing w:val="-8"/>
                <w:kern w:val="0"/>
                <w:sz w:val="24"/>
                <w:szCs w:val="24"/>
              </w:rPr>
              <w:t>其他行政事业单位医疗支出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财政对基本医疗保险基金的补助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23142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23142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20784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财政对职工基本医疗保险基金的补助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财政对城乡居民基本医疗保险基金的补助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22462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22462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20449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医疗救助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5087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5087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4412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城乡医疗救助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5025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5025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4345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疾病应急救助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优抚对象医疗</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优抚对象医疗补助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其他优抚对象医疗支出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医疗保障管理事务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178.8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信息化建设</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医疗保障政策管理</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740" w:type="dxa"/>
            <w:shd w:val="clear" w:color="auto" w:fill="auto"/>
            <w:vAlign w:val="center"/>
          </w:tcPr>
          <w:p>
            <w:pPr>
              <w:widowControl/>
              <w:ind w:firstLine="672" w:firstLineChars="300"/>
              <w:jc w:val="left"/>
              <w:rPr>
                <w:rFonts w:ascii="Times New Roman" w:hAnsi="Times New Roman" w:eastAsia="宋体" w:cs="Times New Roman"/>
                <w:color w:val="000000"/>
                <w:spacing w:val="-8"/>
                <w:kern w:val="0"/>
                <w:sz w:val="24"/>
                <w:szCs w:val="24"/>
              </w:rPr>
            </w:pPr>
            <w:r>
              <w:rPr>
                <w:rFonts w:ascii="Times New Roman" w:hAnsi="Times New Roman" w:eastAsia="宋体" w:cs="Times New Roman"/>
                <w:color w:val="000000"/>
                <w:spacing w:val="-8"/>
                <w:kern w:val="0"/>
                <w:sz w:val="24"/>
                <w:szCs w:val="24"/>
              </w:rPr>
              <w:t>其他医疗保障管理事务支出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其他卫生健康支出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5621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其他卫生健康支出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5621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九、节能环保支出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4915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4915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4867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环境保护管理事务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污染防治</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2059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114.2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大气</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水体</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548.1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其他污染防治支出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自然生态保护</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生态保护</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天然林保护</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停伐补助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能源节约利用</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能源节约利用</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污染减排</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生态环境监测与信息</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生态环境执法监察</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其他污染减排支出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能源管理事务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其他能源管理事务支出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其他节能环保支出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其他节能环保支出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十、城乡社区支出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22712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22712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24359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城乡社区管理事务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7990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7990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7761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城管执法</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5785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5785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5540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工程建设管理</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3740" w:type="dxa"/>
            <w:shd w:val="clear" w:color="auto" w:fill="auto"/>
            <w:vAlign w:val="center"/>
          </w:tcPr>
          <w:p>
            <w:pPr>
              <w:widowControl/>
              <w:ind w:firstLine="672" w:firstLineChars="300"/>
              <w:jc w:val="left"/>
              <w:rPr>
                <w:rFonts w:ascii="Times New Roman" w:hAnsi="Times New Roman" w:eastAsia="宋体" w:cs="Times New Roman"/>
                <w:color w:val="000000"/>
                <w:spacing w:val="-8"/>
                <w:kern w:val="0"/>
                <w:sz w:val="24"/>
                <w:szCs w:val="24"/>
              </w:rPr>
            </w:pPr>
            <w:r>
              <w:rPr>
                <w:rFonts w:ascii="Times New Roman" w:hAnsi="Times New Roman" w:eastAsia="宋体" w:cs="Times New Roman"/>
                <w:color w:val="000000"/>
                <w:spacing w:val="-8"/>
                <w:kern w:val="0"/>
                <w:sz w:val="24"/>
                <w:szCs w:val="24"/>
              </w:rPr>
              <w:t>其他城乡社区管理事务支出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城乡社区规划与管理</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城乡社区规划与管理</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城乡社区公共设施</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3142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3142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3129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3740" w:type="dxa"/>
            <w:shd w:val="clear" w:color="auto" w:fill="auto"/>
            <w:vAlign w:val="center"/>
          </w:tcPr>
          <w:p>
            <w:pPr>
              <w:widowControl/>
              <w:ind w:firstLine="672" w:firstLineChars="300"/>
              <w:jc w:val="left"/>
              <w:rPr>
                <w:rFonts w:ascii="Times New Roman" w:hAnsi="Times New Roman" w:eastAsia="宋体" w:cs="Times New Roman"/>
                <w:color w:val="000000"/>
                <w:spacing w:val="-8"/>
                <w:kern w:val="0"/>
                <w:sz w:val="24"/>
                <w:szCs w:val="24"/>
              </w:rPr>
            </w:pPr>
            <w:r>
              <w:rPr>
                <w:rFonts w:ascii="Times New Roman" w:hAnsi="Times New Roman" w:eastAsia="宋体" w:cs="Times New Roman"/>
                <w:color w:val="000000"/>
                <w:spacing w:val="-8"/>
                <w:kern w:val="0"/>
                <w:sz w:val="24"/>
                <w:szCs w:val="24"/>
              </w:rPr>
              <w:t>其他城乡社区公共设施支出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3142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3142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3129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城乡社区环境卫生</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城乡社区环境卫生</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建设市场管理与监督</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建设市场管理与监督</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其他城乡社区支出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9178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9178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11105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其他城乡社区支出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9178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9178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11105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374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十一、农林水支出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82831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82831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77476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农业农村</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27837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27837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31149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111.9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9027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105.0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科技转化与推广服务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病虫害控制</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农产品质量安全</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执法监管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193.8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统计监测与信息服务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行业业务管理</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防灾救灾</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稳定农民收入补贴</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农业结构调整补贴</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农业生产发展</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农村合作经济</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农业资源保护修复与利用</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1744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1744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成品油价格改革对渔业的补贴</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对高校毕业生到基层任职补助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农田建设</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其他农业农村支出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13869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13869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18506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133.4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林业和草原</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4480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4480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5523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123.3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事业机构</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森林资源培育</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森林资源管理</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森林生态效益补偿</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动植物保护</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林业草原防灾减灾</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其他林业和草原支出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2298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235.5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26538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26538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21704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水利行业业务管理</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1436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水利工程建设</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5160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5160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2139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水利工程运行与维护</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2933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1625.3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水利前期工作</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水土保持</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水资源节约管理与保护</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747.4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水文测报</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防汛</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抗旱</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农村水利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大中型水库移民后期扶持专项支出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水利安全监督</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水利建设征地及移民支出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146.9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农村人畜饮水</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其他水利支出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11990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11990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9110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扶贫</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1866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123.9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生产发展</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其他扶贫支出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1766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125.7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农村综合改革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18860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18860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16594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740" w:type="dxa"/>
            <w:shd w:val="clear" w:color="auto" w:fill="auto"/>
            <w:vAlign w:val="center"/>
          </w:tcPr>
          <w:p>
            <w:pPr>
              <w:widowControl/>
              <w:ind w:firstLine="672" w:firstLineChars="300"/>
              <w:jc w:val="left"/>
              <w:rPr>
                <w:rFonts w:ascii="Times New Roman" w:hAnsi="Times New Roman" w:eastAsia="宋体" w:cs="Times New Roman"/>
                <w:color w:val="000000"/>
                <w:spacing w:val="-8"/>
                <w:kern w:val="0"/>
                <w:sz w:val="24"/>
                <w:szCs w:val="24"/>
              </w:rPr>
            </w:pPr>
            <w:r>
              <w:rPr>
                <w:rFonts w:ascii="Times New Roman" w:hAnsi="Times New Roman" w:eastAsia="宋体" w:cs="Times New Roman"/>
                <w:color w:val="000000"/>
                <w:spacing w:val="-8"/>
                <w:kern w:val="0"/>
                <w:sz w:val="24"/>
                <w:szCs w:val="24"/>
              </w:rPr>
              <w:t>对村级公益事业建设的补助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11167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11167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8700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对村民委员会和村党支部的补助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6675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6675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6700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其他农村综合改革支出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117.3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普惠金融发展支出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132.0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农业保险保费补贴</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132.0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其他农林水支出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3560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3560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其他农林水支出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3560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3560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374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十二、交通运输支出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40228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41228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76567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185.7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公路水路运输</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19711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20711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36018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173.9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公路建设</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公路养护</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其他公路水路运输支出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17744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17744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32938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185.6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铁路运输</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一般行政管理事务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其他铁路运输支出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成品油价格改革对交通运输的补贴</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对农村道路客运的补贴</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对出租车的补贴</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邮政业支出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132.6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行业监管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其他邮政业支出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车辆购置税支出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40043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200.2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13382.5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车辆购置税用于公路等基础设施建设支出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40043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200.2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13382.5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其他交通运输支出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公共交通运营补助</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其他交通运输支出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十三、资源勘探工业信息等支出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37388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37388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44706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119.6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建筑业</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其他建筑业支出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工业和信息产业监管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8970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8970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10465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116.7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产业发展</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8092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8092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9641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119.1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其他工业和信息产业监管支出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740" w:type="dxa"/>
            <w:shd w:val="clear" w:color="auto" w:fill="auto"/>
            <w:vAlign w:val="center"/>
          </w:tcPr>
          <w:p>
            <w:pPr>
              <w:widowControl/>
              <w:ind w:firstLine="448" w:firstLineChars="200"/>
              <w:jc w:val="left"/>
              <w:rPr>
                <w:rFonts w:ascii="Times New Roman" w:hAnsi="Times New Roman" w:eastAsia="宋体" w:cs="Times New Roman"/>
                <w:color w:val="000000"/>
                <w:spacing w:val="-8"/>
                <w:kern w:val="0"/>
                <w:sz w:val="24"/>
                <w:szCs w:val="24"/>
              </w:rPr>
            </w:pPr>
            <w:r>
              <w:rPr>
                <w:rFonts w:ascii="Times New Roman" w:hAnsi="Times New Roman" w:eastAsia="宋体" w:cs="Times New Roman"/>
                <w:color w:val="000000"/>
                <w:spacing w:val="-8"/>
                <w:kern w:val="0"/>
                <w:sz w:val="24"/>
                <w:szCs w:val="24"/>
              </w:rPr>
              <w:t>支持中小企业发展和管理支出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26868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26868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30959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115.2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中小企业发展专项</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127.2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其他支持中小企业发展和管理支出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26221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26221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30136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114.9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740" w:type="dxa"/>
            <w:shd w:val="clear" w:color="auto" w:fill="auto"/>
            <w:vAlign w:val="center"/>
          </w:tcPr>
          <w:p>
            <w:pPr>
              <w:widowControl/>
              <w:ind w:firstLine="448" w:firstLineChars="200"/>
              <w:jc w:val="left"/>
              <w:rPr>
                <w:rFonts w:ascii="Times New Roman" w:hAnsi="Times New Roman" w:eastAsia="宋体" w:cs="Times New Roman"/>
                <w:color w:val="000000"/>
                <w:spacing w:val="-8"/>
                <w:kern w:val="0"/>
                <w:sz w:val="24"/>
                <w:szCs w:val="24"/>
              </w:rPr>
            </w:pPr>
            <w:r>
              <w:rPr>
                <w:rFonts w:ascii="Times New Roman" w:hAnsi="Times New Roman" w:eastAsia="宋体" w:cs="Times New Roman"/>
                <w:color w:val="000000"/>
                <w:spacing w:val="-8"/>
                <w:kern w:val="0"/>
                <w:sz w:val="24"/>
                <w:szCs w:val="24"/>
              </w:rPr>
              <w:t>其他资源勘探工业信息等支出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2782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265.0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其他资源勘探工业信息等支出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2782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265.0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十四、商业服务业等支出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5861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5861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6089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商业流通事务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62.3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其他商业流通事务支出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涉外发展服务支出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3279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3279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4286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130.7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其他涉外发展服务支出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3279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3279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4286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130.7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其他商业服务业等支出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其他商业服务业等支出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374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十五、金融支出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其他金融支出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其他金融支出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374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十六、自然资源海洋气象等支出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12273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12273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6623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自然资源事务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5259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5259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4849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自然资源利用与保护</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3421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3421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3292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其他自然资源事务支出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气象事务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87.5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气象事业机构</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气象装备维护</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其他气象事务支出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740" w:type="dxa"/>
            <w:shd w:val="clear" w:color="auto" w:fill="auto"/>
            <w:vAlign w:val="center"/>
          </w:tcPr>
          <w:p>
            <w:pPr>
              <w:widowControl/>
              <w:ind w:firstLine="448" w:firstLineChars="200"/>
              <w:jc w:val="left"/>
              <w:rPr>
                <w:rFonts w:ascii="Times New Roman" w:hAnsi="Times New Roman" w:eastAsia="宋体" w:cs="Times New Roman"/>
                <w:color w:val="000000"/>
                <w:spacing w:val="-8"/>
                <w:kern w:val="0"/>
                <w:sz w:val="24"/>
                <w:szCs w:val="24"/>
              </w:rPr>
            </w:pPr>
            <w:r>
              <w:rPr>
                <w:rFonts w:ascii="Times New Roman" w:hAnsi="Times New Roman" w:eastAsia="宋体" w:cs="Times New Roman"/>
                <w:color w:val="000000"/>
                <w:spacing w:val="-8"/>
                <w:kern w:val="0"/>
                <w:sz w:val="24"/>
                <w:szCs w:val="24"/>
              </w:rPr>
              <w:t>其他自然资源海洋气象等支出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6574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6574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其他自然资源海洋气象等支出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6574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6574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十七、住房保障支出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6937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6937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12262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176.8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保障性安居工程支出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5331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5331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10692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200.6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农村危房改造</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公共租赁住房</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保障性住房租金补贴</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388.1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老旧小区改造</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5019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5019</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8022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159.8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其他保障性安居工程支出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1978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1128.6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城乡社区住宅</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97.8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住房公积金管理</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其他城乡社区住宅支出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1212</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十八、粮油物资储备支出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743</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粮油物资事务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粮食财务挂账利息补贴</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粮油储备</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储备粮油补贴</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其他粮油储备支出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重要商品储备</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327</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33.6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139.1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应急物资储备</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其他重要商品储备支出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十九、灾害防治及应急管理支出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4161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4161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4813</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115.7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应急管理事务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2040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2040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灾害风险防治</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安全监管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62.2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应急救援</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应急管理</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其他应急管理支出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517</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消防事务</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1941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1941</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2875</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148.1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消防应急救援</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1916</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2551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133.1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其他消防事务支出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自然灾害防治</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森林草原防灾减灾</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其他自然灾害防治支出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二十、预备费</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二十一、其他支出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30854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30854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22836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30854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30854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22836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30854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30854</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22836</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二十二、债务付息支出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6561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地方政府一般债务付息支出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6561</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99.4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740" w:type="dxa"/>
            <w:shd w:val="clear" w:color="auto" w:fill="auto"/>
            <w:vAlign w:val="center"/>
          </w:tcPr>
          <w:p>
            <w:pPr>
              <w:widowControl/>
              <w:ind w:firstLine="672" w:firstLineChars="300"/>
              <w:jc w:val="left"/>
              <w:rPr>
                <w:rFonts w:ascii="Times New Roman" w:hAnsi="Times New Roman" w:eastAsia="宋体" w:cs="Times New Roman"/>
                <w:color w:val="000000"/>
                <w:spacing w:val="-8"/>
                <w:kern w:val="0"/>
                <w:sz w:val="24"/>
                <w:szCs w:val="24"/>
              </w:rPr>
            </w:pPr>
            <w:r>
              <w:rPr>
                <w:rFonts w:ascii="Times New Roman" w:hAnsi="Times New Roman" w:eastAsia="宋体" w:cs="Times New Roman"/>
                <w:color w:val="000000"/>
                <w:spacing w:val="-8"/>
                <w:kern w:val="0"/>
                <w:sz w:val="24"/>
                <w:szCs w:val="24"/>
              </w:rPr>
              <w:t>地方政府一般债券付息支出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6600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6530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98.9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9" w:hRule="atLeast"/>
          <w:jc w:val="center"/>
        </w:trPr>
        <w:tc>
          <w:tcPr>
            <w:tcW w:w="3740"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地方政府向国际组织借款付息支出</w:t>
            </w:r>
          </w:p>
        </w:tc>
        <w:tc>
          <w:tcPr>
            <w:tcW w:w="1120" w:type="dxa"/>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1120" w:type="dxa"/>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w:t>
            </w:r>
          </w:p>
        </w:tc>
        <w:tc>
          <w:tcPr>
            <w:tcW w:w="1240" w:type="dxa"/>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1000" w:type="dxa"/>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374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二十</w:t>
            </w:r>
            <w:r>
              <w:rPr>
                <w:rFonts w:hint="eastAsia" w:ascii="Times New Roman" w:hAnsi="Times New Roman" w:eastAsia="宋体" w:cs="Times New Roman"/>
                <w:color w:val="000000"/>
                <w:kern w:val="0"/>
                <w:sz w:val="24"/>
                <w:szCs w:val="24"/>
                <w:lang w:val="en-US" w:eastAsia="zh-CN"/>
              </w:rPr>
              <w:t>三</w:t>
            </w:r>
            <w:r>
              <w:rPr>
                <w:rFonts w:ascii="Times New Roman" w:hAnsi="Times New Roman" w:eastAsia="宋体" w:cs="Times New Roman"/>
                <w:color w:val="000000"/>
                <w:kern w:val="0"/>
                <w:sz w:val="24"/>
                <w:szCs w:val="24"/>
              </w:rPr>
              <w:t>、债务发行费用支出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74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地方政府一般债务发行费用支出</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12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2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60.0 </w:t>
            </w:r>
          </w:p>
        </w:tc>
        <w:tc>
          <w:tcPr>
            <w:tcW w:w="100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900.0 </w:t>
            </w:r>
          </w:p>
        </w:tc>
      </w:tr>
    </w:tbl>
    <w:p>
      <w:pPr>
        <w:rPr>
          <w:rFonts w:ascii="Times New Roman" w:hAnsi="Times New Roman" w:cs="Times New Roman"/>
        </w:rPr>
      </w:pPr>
    </w:p>
    <w:tbl>
      <w:tblPr>
        <w:tblStyle w:val="7"/>
        <w:tblW w:w="9353" w:type="dxa"/>
        <w:jc w:val="center"/>
        <w:tblLayout w:type="fixed"/>
        <w:tblCellMar>
          <w:top w:w="0" w:type="dxa"/>
          <w:left w:w="108" w:type="dxa"/>
          <w:bottom w:w="0" w:type="dxa"/>
          <w:right w:w="108" w:type="dxa"/>
        </w:tblCellMar>
      </w:tblPr>
      <w:tblGrid>
        <w:gridCol w:w="9353"/>
      </w:tblGrid>
      <w:tr>
        <w:tblPrEx>
          <w:tblCellMar>
            <w:top w:w="0" w:type="dxa"/>
            <w:left w:w="108" w:type="dxa"/>
            <w:bottom w:w="0" w:type="dxa"/>
            <w:right w:w="108" w:type="dxa"/>
          </w:tblCellMar>
        </w:tblPrEx>
        <w:trPr>
          <w:trHeight w:val="329" w:hRule="atLeast"/>
          <w:jc w:val="center"/>
        </w:trPr>
        <w:tc>
          <w:tcPr>
            <w:tcW w:w="9353" w:type="dxa"/>
            <w:tcBorders>
              <w:top w:val="nil"/>
              <w:left w:val="nil"/>
              <w:bottom w:val="nil"/>
              <w:right w:val="nil"/>
            </w:tcBorders>
            <w:shd w:val="clear" w:color="auto" w:fill="auto"/>
            <w:vAlign w:val="center"/>
          </w:tcPr>
          <w:p>
            <w:pPr>
              <w:widowControl/>
              <w:jc w:val="left"/>
              <w:rPr>
                <w:rFonts w:ascii="Times New Roman" w:hAnsi="Times New Roman" w:eastAsia="楷体_GB2312" w:cs="Times New Roman"/>
                <w:sz w:val="22"/>
              </w:rPr>
            </w:pPr>
            <w:r>
              <w:rPr>
                <w:rFonts w:ascii="Times New Roman" w:hAnsi="Times New Roman" w:eastAsia="楷体_GB2312" w:cs="Times New Roman"/>
                <w:sz w:val="22"/>
              </w:rPr>
              <w:t>注：1.公共安全支出减少主要是2021年暂付款清理支出较多。</w:t>
            </w:r>
          </w:p>
        </w:tc>
      </w:tr>
      <w:tr>
        <w:tblPrEx>
          <w:tblCellMar>
            <w:top w:w="0" w:type="dxa"/>
            <w:left w:w="108" w:type="dxa"/>
            <w:bottom w:w="0" w:type="dxa"/>
            <w:right w:w="108" w:type="dxa"/>
          </w:tblCellMar>
        </w:tblPrEx>
        <w:trPr>
          <w:trHeight w:val="329" w:hRule="atLeast"/>
          <w:jc w:val="center"/>
        </w:trPr>
        <w:tc>
          <w:tcPr>
            <w:tcW w:w="9353"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2.科学技术支出增加主要是科技创新类补助增加。</w:t>
            </w:r>
          </w:p>
        </w:tc>
      </w:tr>
      <w:tr>
        <w:tblPrEx>
          <w:tblCellMar>
            <w:top w:w="0" w:type="dxa"/>
            <w:left w:w="108" w:type="dxa"/>
            <w:bottom w:w="0" w:type="dxa"/>
            <w:right w:w="108" w:type="dxa"/>
          </w:tblCellMar>
        </w:tblPrEx>
        <w:trPr>
          <w:trHeight w:val="329" w:hRule="atLeast"/>
          <w:jc w:val="center"/>
        </w:trPr>
        <w:tc>
          <w:tcPr>
            <w:tcW w:w="9353"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3.社会保障和就业支出减少主要是企业养老保险上级补助金减少。</w:t>
            </w:r>
          </w:p>
        </w:tc>
      </w:tr>
      <w:tr>
        <w:tblPrEx>
          <w:tblCellMar>
            <w:top w:w="0" w:type="dxa"/>
            <w:left w:w="108" w:type="dxa"/>
            <w:bottom w:w="0" w:type="dxa"/>
            <w:right w:w="108" w:type="dxa"/>
          </w:tblCellMar>
        </w:tblPrEx>
        <w:trPr>
          <w:trHeight w:val="329" w:hRule="atLeast"/>
          <w:jc w:val="center"/>
        </w:trPr>
        <w:tc>
          <w:tcPr>
            <w:tcW w:w="9353"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4.卫生健康支出增加主要是疫情防控支出和基层医疗卫生机构人员补助增加。</w:t>
            </w:r>
          </w:p>
        </w:tc>
      </w:tr>
      <w:tr>
        <w:tblPrEx>
          <w:tblCellMar>
            <w:top w:w="0" w:type="dxa"/>
            <w:left w:w="108" w:type="dxa"/>
            <w:bottom w:w="0" w:type="dxa"/>
            <w:right w:w="108" w:type="dxa"/>
          </w:tblCellMar>
        </w:tblPrEx>
        <w:trPr>
          <w:trHeight w:val="329" w:hRule="atLeast"/>
          <w:jc w:val="center"/>
        </w:trPr>
        <w:tc>
          <w:tcPr>
            <w:tcW w:w="9353"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5.节能环保支出减少主要是对相关企业补助减少。</w:t>
            </w:r>
          </w:p>
        </w:tc>
      </w:tr>
      <w:tr>
        <w:tblPrEx>
          <w:tblCellMar>
            <w:top w:w="0" w:type="dxa"/>
            <w:left w:w="108" w:type="dxa"/>
            <w:bottom w:w="0" w:type="dxa"/>
            <w:right w:w="108" w:type="dxa"/>
          </w:tblCellMar>
        </w:tblPrEx>
        <w:trPr>
          <w:trHeight w:val="389" w:hRule="atLeast"/>
          <w:jc w:val="center"/>
        </w:trPr>
        <w:tc>
          <w:tcPr>
            <w:tcW w:w="9353"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6.城乡社区支出增加主要是上级转移支付增加。</w:t>
            </w:r>
          </w:p>
        </w:tc>
      </w:tr>
      <w:tr>
        <w:tblPrEx>
          <w:tblCellMar>
            <w:top w:w="0" w:type="dxa"/>
            <w:left w:w="108" w:type="dxa"/>
            <w:bottom w:w="0" w:type="dxa"/>
            <w:right w:w="108" w:type="dxa"/>
          </w:tblCellMar>
        </w:tblPrEx>
        <w:trPr>
          <w:trHeight w:val="389" w:hRule="atLeast"/>
          <w:jc w:val="center"/>
        </w:trPr>
        <w:tc>
          <w:tcPr>
            <w:tcW w:w="9353"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7.农林水支出减少主要是扶贫试点、农田水利建设项目到期相关支出减少。</w:t>
            </w:r>
          </w:p>
        </w:tc>
      </w:tr>
      <w:tr>
        <w:tblPrEx>
          <w:tblCellMar>
            <w:top w:w="0" w:type="dxa"/>
            <w:left w:w="108" w:type="dxa"/>
            <w:bottom w:w="0" w:type="dxa"/>
            <w:right w:w="108" w:type="dxa"/>
          </w:tblCellMar>
        </w:tblPrEx>
        <w:trPr>
          <w:trHeight w:val="329" w:hRule="atLeast"/>
          <w:jc w:val="center"/>
        </w:trPr>
        <w:tc>
          <w:tcPr>
            <w:tcW w:w="9353"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8.自然资源海洋气象等支出减少主要是全年自然保护项目减少，相关事务支出减少。</w:t>
            </w:r>
          </w:p>
        </w:tc>
      </w:tr>
      <w:tr>
        <w:tblPrEx>
          <w:tblCellMar>
            <w:top w:w="0" w:type="dxa"/>
            <w:left w:w="108" w:type="dxa"/>
            <w:bottom w:w="0" w:type="dxa"/>
            <w:right w:w="108" w:type="dxa"/>
          </w:tblCellMar>
        </w:tblPrEx>
        <w:trPr>
          <w:trHeight w:val="329" w:hRule="atLeast"/>
          <w:jc w:val="center"/>
        </w:trPr>
        <w:tc>
          <w:tcPr>
            <w:tcW w:w="9353"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9.住房保障支出增加主要是老旧小区改造上级转移支付资金增加。</w:t>
            </w:r>
          </w:p>
        </w:tc>
      </w:tr>
      <w:tr>
        <w:tblPrEx>
          <w:tblCellMar>
            <w:top w:w="0" w:type="dxa"/>
            <w:left w:w="108" w:type="dxa"/>
            <w:bottom w:w="0" w:type="dxa"/>
            <w:right w:w="108" w:type="dxa"/>
          </w:tblCellMar>
        </w:tblPrEx>
        <w:trPr>
          <w:trHeight w:val="329" w:hRule="atLeast"/>
          <w:jc w:val="center"/>
        </w:trPr>
        <w:tc>
          <w:tcPr>
            <w:tcW w:w="9353"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10.粮油物资储备支出增加主要是上级转移支付资金增加。</w:t>
            </w:r>
          </w:p>
        </w:tc>
      </w:tr>
      <w:tr>
        <w:tblPrEx>
          <w:tblCellMar>
            <w:top w:w="0" w:type="dxa"/>
            <w:left w:w="108" w:type="dxa"/>
            <w:bottom w:w="0" w:type="dxa"/>
            <w:right w:w="108" w:type="dxa"/>
          </w:tblCellMar>
        </w:tblPrEx>
        <w:trPr>
          <w:trHeight w:val="366" w:hRule="atLeast"/>
          <w:jc w:val="center"/>
        </w:trPr>
        <w:tc>
          <w:tcPr>
            <w:tcW w:w="9353"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11.其他支出减少主要是2021年暂付款清理支出较多</w:t>
            </w:r>
          </w:p>
        </w:tc>
      </w:tr>
      <w:tr>
        <w:tblPrEx>
          <w:tblCellMar>
            <w:top w:w="0" w:type="dxa"/>
            <w:left w:w="108" w:type="dxa"/>
            <w:bottom w:w="0" w:type="dxa"/>
            <w:right w:w="108" w:type="dxa"/>
          </w:tblCellMar>
        </w:tblPrEx>
        <w:trPr>
          <w:trHeight w:val="329" w:hRule="atLeast"/>
          <w:jc w:val="center"/>
        </w:trPr>
        <w:tc>
          <w:tcPr>
            <w:tcW w:w="9353"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12.债务发行费用支出增加主要是新增债券金额增加。</w:t>
            </w:r>
          </w:p>
        </w:tc>
      </w:tr>
    </w:tbl>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2022年一般公共预算</w:t>
      </w:r>
      <w:r>
        <w:rPr>
          <w:rFonts w:hint="eastAsia" w:ascii="Times New Roman" w:hAnsi="Times New Roman" w:eastAsia="方正小标宋简体" w:cs="Times New Roman"/>
          <w:color w:val="000000"/>
          <w:kern w:val="0"/>
          <w:sz w:val="44"/>
          <w:szCs w:val="44"/>
          <w:lang w:val="en-US" w:eastAsia="zh-CN"/>
        </w:rPr>
        <w:t>本级</w:t>
      </w:r>
      <w:r>
        <w:rPr>
          <w:rFonts w:ascii="Times New Roman" w:hAnsi="Times New Roman" w:eastAsia="方正小标宋简体" w:cs="Times New Roman"/>
          <w:color w:val="000000"/>
          <w:kern w:val="0"/>
          <w:sz w:val="44"/>
          <w:szCs w:val="44"/>
        </w:rPr>
        <w:t>基本支出</w:t>
      </w: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ascii="Times New Roman" w:hAnsi="Times New Roman" w:eastAsia="方正小标宋简体" w:cs="Times New Roman"/>
          <w:color w:val="000000"/>
          <w:kern w:val="0"/>
          <w:sz w:val="44"/>
          <w:szCs w:val="44"/>
        </w:rPr>
        <w:t>执行情况表</w:t>
      </w:r>
    </w:p>
    <w:p>
      <w:pPr>
        <w:rPr>
          <w:rFonts w:ascii="Times New Roman" w:hAnsi="Times New Roman" w:eastAsia="楷体_GB2312" w:cs="Times New Roman"/>
          <w:color w:val="000000" w:themeColor="text1"/>
          <w:kern w:val="0"/>
          <w:sz w:val="24"/>
          <w:szCs w:val="2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表四                                                          单位：万元</w:t>
      </w:r>
    </w:p>
    <w:tbl>
      <w:tblPr>
        <w:tblStyle w:val="7"/>
        <w:tblW w:w="91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56"/>
        <w:gridCol w:w="1401"/>
        <w:gridCol w:w="1677"/>
        <w:gridCol w:w="19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tblHeader/>
          <w:jc w:val="center"/>
        </w:trPr>
        <w:tc>
          <w:tcPr>
            <w:tcW w:w="4156"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政府经济科目</w:t>
            </w:r>
          </w:p>
        </w:tc>
        <w:tc>
          <w:tcPr>
            <w:tcW w:w="1401"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预算数</w:t>
            </w:r>
          </w:p>
        </w:tc>
        <w:tc>
          <w:tcPr>
            <w:tcW w:w="1677"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执行数</w:t>
            </w:r>
          </w:p>
        </w:tc>
        <w:tc>
          <w:tcPr>
            <w:tcW w:w="1951"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完成</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预算%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合计</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260058</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256602</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一、机关工资福利支出</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97870</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95558</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工资奖金津补贴</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76501</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70452</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社会保障缴费</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9966</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13964</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住房公积金</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7615</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7530</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其他工资福利支出</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3788</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3612</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二、机关商品和服务支出</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7589</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7029</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办公经费</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5639</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5086</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会议费</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培训费</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专用材料购置费</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委托业务费</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136</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公务接待费</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因公出国（境）费用</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公务用车运行维护费</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871</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804</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维修（护）费</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其他商品和服务支出</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475</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636</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三、机关资本性支出（一）</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房屋建筑物购建</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基础设施建设</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公务用车购置</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土地征迁补偿和安置支出</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设备购置</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大型修缮</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其他资本性支出</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val="en-US" w:eastAsia="zh-CN"/>
              </w:rPr>
              <w:t>四</w:t>
            </w:r>
            <w:r>
              <w:rPr>
                <w:rFonts w:ascii="Times New Roman" w:hAnsi="Times New Roman" w:eastAsia="宋体" w:cs="Times New Roman"/>
                <w:color w:val="000000"/>
                <w:kern w:val="0"/>
                <w:sz w:val="24"/>
                <w:szCs w:val="24"/>
              </w:rPr>
              <w:t>、对事业单位经常性补助</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151251</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150201</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工资福利支出</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141034</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141169</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商品和服务支出</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10217</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9032</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val="en-US" w:eastAsia="zh-CN"/>
              </w:rPr>
              <w:t>五</w:t>
            </w:r>
            <w:r>
              <w:rPr>
                <w:rFonts w:ascii="Times New Roman" w:hAnsi="Times New Roman" w:eastAsia="宋体" w:cs="Times New Roman"/>
                <w:color w:val="000000"/>
                <w:kern w:val="0"/>
                <w:sz w:val="24"/>
                <w:szCs w:val="24"/>
              </w:rPr>
              <w:t>、对事业单位资本性补助</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615</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515</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资本性支出（一）</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615</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515</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val="en-US" w:eastAsia="zh-CN"/>
              </w:rPr>
              <w:t>六</w:t>
            </w:r>
            <w:r>
              <w:rPr>
                <w:rFonts w:ascii="Times New Roman" w:hAnsi="Times New Roman" w:eastAsia="宋体" w:cs="Times New Roman"/>
                <w:color w:val="000000"/>
                <w:kern w:val="0"/>
                <w:sz w:val="24"/>
                <w:szCs w:val="24"/>
              </w:rPr>
              <w:t>、对个人和家庭的补助</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2548</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3187</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社会福利和救助</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1257</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1889</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助学金</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个人农业生产补贴</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离退休费</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1233</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1273</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4156"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其他对个人和家庭补助</w:t>
            </w:r>
          </w:p>
        </w:tc>
        <w:tc>
          <w:tcPr>
            <w:tcW w:w="140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c>
          <w:tcPr>
            <w:tcW w:w="167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195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30.8 </w:t>
            </w:r>
          </w:p>
        </w:tc>
      </w:tr>
    </w:tbl>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12"/>
          <w:w w:val="90"/>
          <w:kern w:val="0"/>
          <w:sz w:val="44"/>
          <w:szCs w:val="44"/>
        </w:rPr>
      </w:pPr>
      <w:bookmarkStart w:id="3" w:name="RANGE!A1:C10"/>
      <w:r>
        <w:rPr>
          <w:rFonts w:ascii="Times New Roman" w:hAnsi="Times New Roman" w:eastAsia="方正小标宋简体" w:cs="Times New Roman"/>
          <w:color w:val="000000"/>
          <w:spacing w:val="-12"/>
          <w:w w:val="90"/>
          <w:kern w:val="0"/>
          <w:sz w:val="44"/>
          <w:szCs w:val="44"/>
        </w:rPr>
        <w:t>2022年一般公共预算税收返还和转移支付情况表</w:t>
      </w:r>
      <w:bookmarkEnd w:id="3"/>
    </w:p>
    <w:p>
      <w:pPr>
        <w:spacing w:line="600" w:lineRule="exact"/>
        <w:jc w:val="center"/>
        <w:rPr>
          <w:rFonts w:ascii="Times New Roman" w:hAnsi="Times New Roman" w:eastAsia="方正小标宋简体" w:cs="Times New Roman"/>
          <w:color w:val="000000" w:themeColor="text1"/>
          <w:spacing w:val="-6"/>
          <w:kern w:val="0"/>
          <w:sz w:val="44"/>
          <w:szCs w:val="4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表五                                                          单位：万元</w:t>
      </w:r>
    </w:p>
    <w:tbl>
      <w:tblPr>
        <w:tblStyle w:val="7"/>
        <w:tblW w:w="96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752"/>
        <w:gridCol w:w="1924"/>
        <w:gridCol w:w="19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5752" w:type="dxa"/>
            <w:shd w:val="clear" w:color="auto" w:fill="auto"/>
            <w:noWrap/>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1924" w:type="dxa"/>
            <w:shd w:val="clear" w:color="auto" w:fill="auto"/>
            <w:noWrap/>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2022年预算数</w:t>
            </w:r>
          </w:p>
        </w:tc>
        <w:tc>
          <w:tcPr>
            <w:tcW w:w="1924" w:type="dxa"/>
            <w:shd w:val="clear" w:color="auto" w:fill="auto"/>
            <w:noWrap/>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2022年执行数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5752"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一、税收返还</w:t>
            </w:r>
          </w:p>
        </w:tc>
        <w:tc>
          <w:tcPr>
            <w:tcW w:w="1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5752"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二、一般转移支付</w:t>
            </w:r>
          </w:p>
        </w:tc>
        <w:tc>
          <w:tcPr>
            <w:tcW w:w="1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5752"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三、专项转移支付</w:t>
            </w:r>
          </w:p>
        </w:tc>
        <w:tc>
          <w:tcPr>
            <w:tcW w:w="1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5752"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其中:专项转移支付分地区</w:t>
            </w:r>
          </w:p>
        </w:tc>
        <w:tc>
          <w:tcPr>
            <w:tcW w:w="1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5752" w:type="dxa"/>
            <w:shd w:val="clear" w:color="auto" w:fill="auto"/>
            <w:noWrap/>
            <w:vAlign w:val="center"/>
          </w:tcPr>
          <w:p>
            <w:pPr>
              <w:widowControl/>
              <w:ind w:firstLine="960" w:firstLineChars="4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专项转移支付分项目</w:t>
            </w:r>
          </w:p>
        </w:tc>
        <w:tc>
          <w:tcPr>
            <w:tcW w:w="1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92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rPr>
          <w:rFonts w:ascii="Times New Roman" w:hAnsi="Times New Roman" w:cs="Times New Roman"/>
        </w:rPr>
      </w:pPr>
    </w:p>
    <w:tbl>
      <w:tblPr>
        <w:tblStyle w:val="7"/>
        <w:tblW w:w="9600" w:type="dxa"/>
        <w:jc w:val="center"/>
        <w:tblLayout w:type="fixed"/>
        <w:tblCellMar>
          <w:top w:w="0" w:type="dxa"/>
          <w:left w:w="108" w:type="dxa"/>
          <w:bottom w:w="0" w:type="dxa"/>
          <w:right w:w="108" w:type="dxa"/>
        </w:tblCellMar>
      </w:tblPr>
      <w:tblGrid>
        <w:gridCol w:w="5752"/>
        <w:gridCol w:w="1924"/>
        <w:gridCol w:w="1924"/>
      </w:tblGrid>
      <w:tr>
        <w:tblPrEx>
          <w:tblCellMar>
            <w:top w:w="0" w:type="dxa"/>
            <w:left w:w="108" w:type="dxa"/>
            <w:bottom w:w="0" w:type="dxa"/>
            <w:right w:w="108" w:type="dxa"/>
          </w:tblCellMar>
        </w:tblPrEx>
        <w:trPr>
          <w:trHeight w:val="300" w:hRule="atLeast"/>
          <w:jc w:val="center"/>
        </w:trPr>
        <w:tc>
          <w:tcPr>
            <w:tcW w:w="5752"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注：我市无对下安排的税收返还和转移支付。</w:t>
            </w:r>
          </w:p>
        </w:tc>
        <w:tc>
          <w:tcPr>
            <w:tcW w:w="1924"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p>
        </w:tc>
        <w:tc>
          <w:tcPr>
            <w:tcW w:w="1924"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p>
        </w:tc>
      </w:tr>
    </w:tbl>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val="0"/>
          <w:bCs w:val="0"/>
          <w:color w:val="000000" w:themeColor="text1"/>
          <w:spacing w:val="-6"/>
          <w:kern w:val="0"/>
          <w:sz w:val="24"/>
          <w:szCs w:val="24"/>
          <w:lang w:val="en-US" w:eastAsia="zh-CN"/>
        </w:rPr>
      </w:pPr>
      <w:r>
        <w:rPr>
          <w:rFonts w:hint="eastAsia" w:ascii="Times New Roman" w:hAnsi="Times New Roman" w:eastAsia="方正小标宋简体" w:cs="Times New Roman"/>
          <w:color w:val="000000"/>
          <w:spacing w:val="-12"/>
          <w:w w:val="90"/>
          <w:kern w:val="0"/>
          <w:sz w:val="44"/>
          <w:szCs w:val="44"/>
          <w:lang w:val="en-US" w:eastAsia="zh-CN"/>
        </w:rPr>
        <w:t>关于</w:t>
      </w:r>
      <w:r>
        <w:rPr>
          <w:rFonts w:ascii="Times New Roman" w:hAnsi="Times New Roman" w:eastAsia="方正小标宋简体" w:cs="Times New Roman"/>
          <w:color w:val="000000"/>
          <w:spacing w:val="-12"/>
          <w:w w:val="90"/>
          <w:kern w:val="0"/>
          <w:sz w:val="44"/>
          <w:szCs w:val="44"/>
        </w:rPr>
        <w:t>2022年一般公共预算税收返还和转移支付</w:t>
      </w:r>
      <w:r>
        <w:rPr>
          <w:rFonts w:hint="eastAsia" w:ascii="Times New Roman" w:hAnsi="Times New Roman" w:eastAsia="方正小标宋简体" w:cs="Times New Roman"/>
          <w:color w:val="000000"/>
          <w:spacing w:val="-12"/>
          <w:w w:val="90"/>
          <w:kern w:val="0"/>
          <w:sz w:val="44"/>
          <w:szCs w:val="44"/>
          <w:lang w:val="en-US" w:eastAsia="zh-CN"/>
        </w:rPr>
        <w:t>的</w:t>
      </w:r>
      <w:r>
        <w:rPr>
          <w:rFonts w:ascii="Times New Roman" w:hAnsi="Times New Roman" w:eastAsia="方正小标宋简体" w:cs="Times New Roman"/>
          <w:color w:val="000000"/>
          <w:spacing w:val="-12"/>
          <w:w w:val="90"/>
          <w:kern w:val="0"/>
          <w:sz w:val="44"/>
          <w:szCs w:val="44"/>
        </w:rPr>
        <w:t>情况</w:t>
      </w:r>
      <w:r>
        <w:rPr>
          <w:rFonts w:hint="eastAsia" w:ascii="Times New Roman" w:hAnsi="Times New Roman" w:eastAsia="方正小标宋简体" w:cs="Times New Roman"/>
          <w:color w:val="000000"/>
          <w:spacing w:val="-12"/>
          <w:w w:val="90"/>
          <w:kern w:val="0"/>
          <w:sz w:val="44"/>
          <w:szCs w:val="44"/>
          <w:lang w:val="en-US" w:eastAsia="zh-CN"/>
        </w:rPr>
        <w:t>说明</w:t>
      </w: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jc w:val="both"/>
        <w:textAlignment w:val="auto"/>
        <w:rPr>
          <w:rFonts w:hint="eastAsia" w:ascii="仿宋" w:hAnsi="仿宋" w:eastAsia="仿宋" w:cs="仿宋"/>
          <w:b/>
          <w:bCs/>
          <w:color w:val="000000" w:themeColor="text1"/>
          <w:spacing w:val="-6"/>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jc w:val="both"/>
        <w:textAlignment w:val="auto"/>
        <w:rPr>
          <w:rFonts w:hint="default" w:ascii="仿宋" w:hAnsi="仿宋" w:eastAsia="仿宋" w:cs="仿宋"/>
          <w:b w:val="0"/>
          <w:bCs w:val="0"/>
          <w:color w:val="000000" w:themeColor="text1"/>
          <w:spacing w:val="-6"/>
          <w:kern w:val="0"/>
          <w:sz w:val="32"/>
          <w:szCs w:val="32"/>
          <w:lang w:val="en-US" w:eastAsia="zh-CN"/>
        </w:rPr>
      </w:pPr>
      <w:r>
        <w:rPr>
          <w:rFonts w:hint="eastAsia" w:ascii="仿宋" w:hAnsi="仿宋" w:eastAsia="仿宋" w:cs="仿宋"/>
          <w:b/>
          <w:bCs/>
          <w:color w:val="000000" w:themeColor="text1"/>
          <w:spacing w:val="-6"/>
          <w:kern w:val="0"/>
          <w:sz w:val="32"/>
          <w:szCs w:val="32"/>
          <w:lang w:val="en-US" w:eastAsia="zh-CN"/>
        </w:rPr>
        <w:t>一、税收返还。</w:t>
      </w:r>
      <w:r>
        <w:rPr>
          <w:rFonts w:hint="eastAsia" w:ascii="仿宋" w:hAnsi="仿宋" w:eastAsia="仿宋" w:cs="仿宋"/>
          <w:b w:val="0"/>
          <w:bCs w:val="0"/>
          <w:color w:val="000000" w:themeColor="text1"/>
          <w:spacing w:val="-6"/>
          <w:kern w:val="0"/>
          <w:sz w:val="32"/>
          <w:szCs w:val="32"/>
          <w:lang w:val="en-US" w:eastAsia="zh-CN"/>
        </w:rPr>
        <w:t>2022年我市税收返还预算数为0，执行数为0。</w:t>
      </w: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jc w:val="both"/>
        <w:textAlignment w:val="auto"/>
        <w:rPr>
          <w:rFonts w:hint="default" w:ascii="仿宋" w:hAnsi="仿宋" w:eastAsia="仿宋" w:cs="仿宋"/>
          <w:b w:val="0"/>
          <w:bCs w:val="0"/>
          <w:color w:val="000000" w:themeColor="text1"/>
          <w:spacing w:val="-6"/>
          <w:kern w:val="0"/>
          <w:sz w:val="32"/>
          <w:szCs w:val="32"/>
          <w:lang w:val="en-US" w:eastAsia="zh-CN"/>
        </w:rPr>
      </w:pPr>
      <w:r>
        <w:rPr>
          <w:rFonts w:hint="eastAsia" w:ascii="仿宋" w:hAnsi="仿宋" w:eastAsia="仿宋" w:cs="仿宋"/>
          <w:b/>
          <w:bCs/>
          <w:color w:val="000000" w:themeColor="text1"/>
          <w:spacing w:val="-6"/>
          <w:kern w:val="0"/>
          <w:sz w:val="32"/>
          <w:szCs w:val="32"/>
          <w:lang w:val="en-US" w:eastAsia="zh-CN"/>
        </w:rPr>
        <w:t>二、一般转移支付。</w:t>
      </w:r>
      <w:r>
        <w:rPr>
          <w:rFonts w:hint="eastAsia" w:ascii="仿宋" w:hAnsi="仿宋" w:eastAsia="仿宋" w:cs="仿宋"/>
          <w:b w:val="0"/>
          <w:bCs w:val="0"/>
          <w:color w:val="000000" w:themeColor="text1"/>
          <w:spacing w:val="-6"/>
          <w:kern w:val="0"/>
          <w:sz w:val="32"/>
          <w:szCs w:val="32"/>
          <w:lang w:val="en-US" w:eastAsia="zh-CN"/>
        </w:rPr>
        <w:t>2022年我市一般转移支付预算数为0，执行数为0。</w:t>
      </w: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jc w:val="both"/>
        <w:textAlignment w:val="auto"/>
        <w:rPr>
          <w:rFonts w:hint="eastAsia" w:ascii="Times New Roman" w:hAnsi="Times New Roman" w:eastAsia="方正小标宋简体" w:cs="Times New Roman"/>
          <w:b w:val="0"/>
          <w:bCs w:val="0"/>
          <w:color w:val="000000" w:themeColor="text1"/>
          <w:spacing w:val="-6"/>
          <w:kern w:val="0"/>
          <w:sz w:val="32"/>
          <w:szCs w:val="32"/>
        </w:rPr>
      </w:pPr>
      <w:r>
        <w:rPr>
          <w:rFonts w:hint="eastAsia" w:ascii="仿宋" w:hAnsi="仿宋" w:eastAsia="仿宋" w:cs="仿宋"/>
          <w:b/>
          <w:bCs/>
          <w:color w:val="000000" w:themeColor="text1"/>
          <w:spacing w:val="-6"/>
          <w:kern w:val="0"/>
          <w:sz w:val="32"/>
          <w:szCs w:val="32"/>
          <w:lang w:val="en-US" w:eastAsia="zh-CN"/>
        </w:rPr>
        <w:t>三、专项转移支付。</w:t>
      </w:r>
      <w:r>
        <w:rPr>
          <w:rFonts w:hint="eastAsia" w:ascii="仿宋" w:hAnsi="仿宋" w:eastAsia="仿宋" w:cs="仿宋"/>
          <w:b w:val="0"/>
          <w:bCs w:val="0"/>
          <w:color w:val="000000" w:themeColor="text1"/>
          <w:spacing w:val="-6"/>
          <w:kern w:val="0"/>
          <w:sz w:val="32"/>
          <w:szCs w:val="32"/>
          <w:lang w:val="en-US" w:eastAsia="zh-CN"/>
        </w:rPr>
        <w:t>2022年我市专项转移支付预算数为0，执行数为0。</w:t>
      </w:r>
    </w:p>
    <w:p>
      <w:pPr>
        <w:spacing w:line="600" w:lineRule="exact"/>
        <w:jc w:val="center"/>
        <w:rPr>
          <w:rFonts w:ascii="Times New Roman" w:hAnsi="Times New Roman" w:eastAsia="方正小标宋简体" w:cs="Times New Roman"/>
          <w:color w:val="000000"/>
          <w:kern w:val="0"/>
          <w:sz w:val="44"/>
          <w:szCs w:val="44"/>
        </w:rPr>
      </w:pPr>
      <w:bookmarkStart w:id="4" w:name="RANGE!A1:F23"/>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both"/>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ascii="Times New Roman" w:hAnsi="Times New Roman" w:eastAsia="方正小标宋简体" w:cs="Times New Roman"/>
          <w:color w:val="000000"/>
          <w:kern w:val="0"/>
          <w:sz w:val="44"/>
          <w:szCs w:val="44"/>
        </w:rPr>
        <w:t>2022年政府性基金收入执行情况表</w:t>
      </w:r>
      <w:bookmarkEnd w:id="4"/>
    </w:p>
    <w:p>
      <w:pPr>
        <w:rPr>
          <w:rFonts w:ascii="Times New Roman" w:hAnsi="Times New Roman" w:eastAsia="楷体_GB2312" w:cs="Times New Roman"/>
          <w:color w:val="000000" w:themeColor="text1"/>
          <w:kern w:val="0"/>
          <w:sz w:val="24"/>
          <w:szCs w:val="24"/>
        </w:rPr>
      </w:pPr>
    </w:p>
    <w:p>
      <w:pPr>
        <w:rPr>
          <w:rFonts w:ascii="Times New Roman" w:hAnsi="Times New Roman" w:eastAsia="方正小标宋简体" w:cs="Times New Roman"/>
          <w:color w:val="000000" w:themeColor="text1"/>
          <w:spacing w:val="-6"/>
          <w:kern w:val="0"/>
          <w:sz w:val="44"/>
          <w:szCs w:val="44"/>
        </w:rPr>
      </w:pPr>
      <w:r>
        <w:rPr>
          <w:rFonts w:ascii="Times New Roman" w:hAnsi="Times New Roman" w:eastAsia="楷体_GB2312" w:cs="Times New Roman"/>
          <w:color w:val="000000" w:themeColor="text1"/>
          <w:kern w:val="0"/>
          <w:sz w:val="24"/>
          <w:szCs w:val="24"/>
        </w:rPr>
        <w:t>表六                                                          单位：万元</w:t>
      </w:r>
    </w:p>
    <w:tbl>
      <w:tblPr>
        <w:tblStyle w:val="7"/>
        <w:tblW w:w="91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41"/>
        <w:gridCol w:w="1103"/>
        <w:gridCol w:w="1702"/>
        <w:gridCol w:w="1038"/>
        <w:gridCol w:w="1140"/>
        <w:gridCol w:w="9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3241" w:type="dxa"/>
            <w:shd w:val="clear" w:color="auto" w:fill="auto"/>
            <w:noWrap/>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1103"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预算数</w:t>
            </w:r>
          </w:p>
        </w:tc>
        <w:tc>
          <w:tcPr>
            <w:tcW w:w="1702"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调整后预算数</w:t>
            </w:r>
          </w:p>
        </w:tc>
        <w:tc>
          <w:tcPr>
            <w:tcW w:w="1038"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执行数</w:t>
            </w:r>
          </w:p>
        </w:tc>
        <w:tc>
          <w:tcPr>
            <w:tcW w:w="1140" w:type="dxa"/>
            <w:shd w:val="clear" w:color="auto" w:fill="auto"/>
            <w:vAlign w:val="center"/>
          </w:tcPr>
          <w:p>
            <w:pPr>
              <w:widowControl/>
              <w:jc w:val="center"/>
              <w:rPr>
                <w:rFonts w:ascii="Times New Roman" w:hAnsi="Times New Roman" w:eastAsia="黑体" w:cs="Times New Roman"/>
                <w:color w:val="000000"/>
                <w:spacing w:val="-6"/>
                <w:kern w:val="0"/>
                <w:sz w:val="24"/>
                <w:szCs w:val="24"/>
              </w:rPr>
            </w:pPr>
            <w:r>
              <w:rPr>
                <w:rFonts w:ascii="Times New Roman" w:hAnsi="Times New Roman" w:eastAsia="黑体" w:cs="Times New Roman"/>
                <w:color w:val="000000"/>
                <w:spacing w:val="-6"/>
                <w:kern w:val="0"/>
                <w:sz w:val="24"/>
                <w:szCs w:val="24"/>
              </w:rPr>
              <w:t>为调整后</w:t>
            </w:r>
            <w:r>
              <w:rPr>
                <w:rFonts w:ascii="Times New Roman" w:hAnsi="Times New Roman" w:eastAsia="黑体" w:cs="Times New Roman"/>
                <w:color w:val="000000"/>
                <w:spacing w:val="-6"/>
                <w:kern w:val="0"/>
                <w:sz w:val="24"/>
                <w:szCs w:val="24"/>
              </w:rPr>
              <w:br w:type="textWrapping"/>
            </w:r>
            <w:r>
              <w:rPr>
                <w:rFonts w:ascii="Times New Roman" w:hAnsi="Times New Roman" w:eastAsia="黑体" w:cs="Times New Roman"/>
                <w:color w:val="000000"/>
                <w:spacing w:val="-6"/>
                <w:kern w:val="0"/>
                <w:sz w:val="24"/>
                <w:szCs w:val="24"/>
              </w:rPr>
              <w:t>预算%</w:t>
            </w:r>
          </w:p>
        </w:tc>
        <w:tc>
          <w:tcPr>
            <w:tcW w:w="975"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比上年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3241" w:type="dxa"/>
            <w:shd w:val="clear" w:color="auto" w:fill="auto"/>
            <w:noWrap/>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一、本级收入</w:t>
            </w:r>
          </w:p>
        </w:tc>
        <w:tc>
          <w:tcPr>
            <w:tcW w:w="11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747650</w:t>
            </w:r>
          </w:p>
        </w:tc>
        <w:tc>
          <w:tcPr>
            <w:tcW w:w="170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747650</w:t>
            </w:r>
          </w:p>
        </w:tc>
        <w:tc>
          <w:tcPr>
            <w:tcW w:w="103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686293</w:t>
            </w:r>
          </w:p>
        </w:tc>
        <w:tc>
          <w:tcPr>
            <w:tcW w:w="11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91.8 </w:t>
            </w:r>
          </w:p>
        </w:tc>
        <w:tc>
          <w:tcPr>
            <w:tcW w:w="9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3241"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（一）国有土地收益基金收入</w:t>
            </w:r>
          </w:p>
        </w:tc>
        <w:tc>
          <w:tcPr>
            <w:tcW w:w="11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31900</w:t>
            </w:r>
          </w:p>
        </w:tc>
        <w:tc>
          <w:tcPr>
            <w:tcW w:w="170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31900</w:t>
            </w:r>
          </w:p>
        </w:tc>
        <w:tc>
          <w:tcPr>
            <w:tcW w:w="103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49120</w:t>
            </w:r>
          </w:p>
        </w:tc>
        <w:tc>
          <w:tcPr>
            <w:tcW w:w="11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154.0 </w:t>
            </w:r>
          </w:p>
        </w:tc>
        <w:tc>
          <w:tcPr>
            <w:tcW w:w="9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3241"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（二）农业土地开发资金收入</w:t>
            </w:r>
          </w:p>
        </w:tc>
        <w:tc>
          <w:tcPr>
            <w:tcW w:w="11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70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03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1341</w:t>
            </w:r>
          </w:p>
        </w:tc>
        <w:tc>
          <w:tcPr>
            <w:tcW w:w="11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191.6 </w:t>
            </w:r>
          </w:p>
        </w:tc>
        <w:tc>
          <w:tcPr>
            <w:tcW w:w="9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3241"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（三）国有土地使用权出让收入</w:t>
            </w:r>
          </w:p>
        </w:tc>
        <w:tc>
          <w:tcPr>
            <w:tcW w:w="11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611400</w:t>
            </w:r>
          </w:p>
        </w:tc>
        <w:tc>
          <w:tcPr>
            <w:tcW w:w="170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611400</w:t>
            </w:r>
          </w:p>
        </w:tc>
        <w:tc>
          <w:tcPr>
            <w:tcW w:w="103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545172</w:t>
            </w:r>
          </w:p>
        </w:tc>
        <w:tc>
          <w:tcPr>
            <w:tcW w:w="11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89.2 </w:t>
            </w:r>
          </w:p>
        </w:tc>
        <w:tc>
          <w:tcPr>
            <w:tcW w:w="9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3241"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（四）彩票公益金收入</w:t>
            </w:r>
          </w:p>
        </w:tc>
        <w:tc>
          <w:tcPr>
            <w:tcW w:w="11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650</w:t>
            </w:r>
          </w:p>
        </w:tc>
        <w:tc>
          <w:tcPr>
            <w:tcW w:w="170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650</w:t>
            </w:r>
          </w:p>
        </w:tc>
        <w:tc>
          <w:tcPr>
            <w:tcW w:w="103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419</w:t>
            </w:r>
          </w:p>
        </w:tc>
        <w:tc>
          <w:tcPr>
            <w:tcW w:w="11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64.5 </w:t>
            </w:r>
          </w:p>
        </w:tc>
        <w:tc>
          <w:tcPr>
            <w:tcW w:w="9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3241"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（五）城市基础设施配套费收入</w:t>
            </w:r>
          </w:p>
        </w:tc>
        <w:tc>
          <w:tcPr>
            <w:tcW w:w="11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170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103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1196</w:t>
            </w:r>
          </w:p>
        </w:tc>
        <w:tc>
          <w:tcPr>
            <w:tcW w:w="11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239.2 </w:t>
            </w:r>
          </w:p>
        </w:tc>
        <w:tc>
          <w:tcPr>
            <w:tcW w:w="9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3241"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（六）污水处理费收入</w:t>
            </w:r>
          </w:p>
        </w:tc>
        <w:tc>
          <w:tcPr>
            <w:tcW w:w="11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2500</w:t>
            </w:r>
          </w:p>
        </w:tc>
        <w:tc>
          <w:tcPr>
            <w:tcW w:w="170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2500</w:t>
            </w:r>
          </w:p>
        </w:tc>
        <w:tc>
          <w:tcPr>
            <w:tcW w:w="103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7128</w:t>
            </w:r>
          </w:p>
        </w:tc>
        <w:tc>
          <w:tcPr>
            <w:tcW w:w="11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285.1 </w:t>
            </w:r>
          </w:p>
        </w:tc>
        <w:tc>
          <w:tcPr>
            <w:tcW w:w="9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3241"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（七）其他政府性基金收入</w:t>
            </w:r>
          </w:p>
        </w:tc>
        <w:tc>
          <w:tcPr>
            <w:tcW w:w="11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100000</w:t>
            </w:r>
          </w:p>
        </w:tc>
        <w:tc>
          <w:tcPr>
            <w:tcW w:w="170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100000</w:t>
            </w:r>
          </w:p>
        </w:tc>
        <w:tc>
          <w:tcPr>
            <w:tcW w:w="103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81917</w:t>
            </w:r>
          </w:p>
        </w:tc>
        <w:tc>
          <w:tcPr>
            <w:tcW w:w="11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81.9 </w:t>
            </w:r>
          </w:p>
        </w:tc>
        <w:tc>
          <w:tcPr>
            <w:tcW w:w="9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3241" w:type="dxa"/>
            <w:shd w:val="clear" w:color="auto" w:fill="auto"/>
            <w:noWrap/>
            <w:vAlign w:val="center"/>
          </w:tcPr>
          <w:p>
            <w:pPr>
              <w:widowControl/>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二、预计转移性收入</w:t>
            </w:r>
          </w:p>
        </w:tc>
        <w:tc>
          <w:tcPr>
            <w:tcW w:w="11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79535</w:t>
            </w:r>
          </w:p>
        </w:tc>
        <w:tc>
          <w:tcPr>
            <w:tcW w:w="170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227535</w:t>
            </w:r>
          </w:p>
        </w:tc>
        <w:tc>
          <w:tcPr>
            <w:tcW w:w="103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228941</w:t>
            </w:r>
          </w:p>
        </w:tc>
        <w:tc>
          <w:tcPr>
            <w:tcW w:w="11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3241"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（一）上级转移支付收入</w:t>
            </w:r>
          </w:p>
        </w:tc>
        <w:tc>
          <w:tcPr>
            <w:tcW w:w="11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6100</w:t>
            </w:r>
          </w:p>
        </w:tc>
        <w:tc>
          <w:tcPr>
            <w:tcW w:w="170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6100</w:t>
            </w:r>
          </w:p>
        </w:tc>
        <w:tc>
          <w:tcPr>
            <w:tcW w:w="103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7543</w:t>
            </w:r>
          </w:p>
        </w:tc>
        <w:tc>
          <w:tcPr>
            <w:tcW w:w="11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3241"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（二）调入资金</w:t>
            </w:r>
          </w:p>
        </w:tc>
        <w:tc>
          <w:tcPr>
            <w:tcW w:w="110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3640</w:t>
            </w:r>
          </w:p>
        </w:tc>
        <w:tc>
          <w:tcPr>
            <w:tcW w:w="170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3640</w:t>
            </w:r>
          </w:p>
        </w:tc>
        <w:tc>
          <w:tcPr>
            <w:tcW w:w="103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3578</w:t>
            </w:r>
          </w:p>
        </w:tc>
        <w:tc>
          <w:tcPr>
            <w:tcW w:w="11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3241"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（三）地方政府专项债务转贷收入</w:t>
            </w:r>
          </w:p>
        </w:tc>
        <w:tc>
          <w:tcPr>
            <w:tcW w:w="1103"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56000</w:t>
            </w:r>
          </w:p>
        </w:tc>
        <w:tc>
          <w:tcPr>
            <w:tcW w:w="170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204000</w:t>
            </w:r>
          </w:p>
        </w:tc>
        <w:tc>
          <w:tcPr>
            <w:tcW w:w="103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204000</w:t>
            </w:r>
          </w:p>
        </w:tc>
        <w:tc>
          <w:tcPr>
            <w:tcW w:w="11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3241"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（四）使用结转资金</w:t>
            </w:r>
          </w:p>
        </w:tc>
        <w:tc>
          <w:tcPr>
            <w:tcW w:w="110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13795</w:t>
            </w:r>
          </w:p>
        </w:tc>
        <w:tc>
          <w:tcPr>
            <w:tcW w:w="170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13795</w:t>
            </w:r>
          </w:p>
        </w:tc>
        <w:tc>
          <w:tcPr>
            <w:tcW w:w="103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13820</w:t>
            </w:r>
          </w:p>
        </w:tc>
        <w:tc>
          <w:tcPr>
            <w:tcW w:w="114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7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3241" w:type="dxa"/>
            <w:shd w:val="clear" w:color="auto" w:fill="auto"/>
            <w:vAlign w:val="center"/>
          </w:tcPr>
          <w:p>
            <w:pPr>
              <w:widowControl/>
              <w:ind w:firstLine="241" w:firstLineChars="100"/>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收入合计</w:t>
            </w:r>
          </w:p>
        </w:tc>
        <w:tc>
          <w:tcPr>
            <w:tcW w:w="110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827185</w:t>
            </w:r>
          </w:p>
        </w:tc>
        <w:tc>
          <w:tcPr>
            <w:tcW w:w="170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975185</w:t>
            </w:r>
          </w:p>
        </w:tc>
        <w:tc>
          <w:tcPr>
            <w:tcW w:w="103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915234</w:t>
            </w:r>
          </w:p>
        </w:tc>
        <w:tc>
          <w:tcPr>
            <w:tcW w:w="114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75"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rPr>
          <w:rFonts w:ascii="Times New Roman" w:hAnsi="Times New Roman" w:cs="Times New Roman"/>
        </w:rPr>
      </w:pPr>
    </w:p>
    <w:tbl>
      <w:tblPr>
        <w:tblStyle w:val="7"/>
        <w:tblW w:w="9192" w:type="dxa"/>
        <w:jc w:val="center"/>
        <w:tblLayout w:type="fixed"/>
        <w:tblCellMar>
          <w:top w:w="0" w:type="dxa"/>
          <w:left w:w="108" w:type="dxa"/>
          <w:bottom w:w="0" w:type="dxa"/>
          <w:right w:w="108" w:type="dxa"/>
        </w:tblCellMar>
      </w:tblPr>
      <w:tblGrid>
        <w:gridCol w:w="9192"/>
      </w:tblGrid>
      <w:tr>
        <w:tblPrEx>
          <w:tblCellMar>
            <w:top w:w="0" w:type="dxa"/>
            <w:left w:w="108" w:type="dxa"/>
            <w:bottom w:w="0" w:type="dxa"/>
            <w:right w:w="108" w:type="dxa"/>
          </w:tblCellMar>
        </w:tblPrEx>
        <w:trPr>
          <w:trHeight w:val="684" w:hRule="atLeast"/>
          <w:jc w:val="center"/>
        </w:trPr>
        <w:tc>
          <w:tcPr>
            <w:tcW w:w="9192" w:type="dxa"/>
            <w:tcBorders>
              <w:top w:val="nil"/>
              <w:left w:val="nil"/>
              <w:bottom w:val="nil"/>
              <w:right w:val="nil"/>
            </w:tcBorders>
            <w:shd w:val="clear" w:color="auto" w:fill="auto"/>
            <w:vAlign w:val="center"/>
          </w:tcPr>
          <w:p>
            <w:pPr>
              <w:widowControl/>
              <w:jc w:val="left"/>
              <w:rPr>
                <w:rFonts w:ascii="Times New Roman" w:hAnsi="Times New Roman" w:eastAsia="楷体_GB2312" w:cs="Times New Roman"/>
                <w:sz w:val="22"/>
              </w:rPr>
            </w:pPr>
            <w:r>
              <w:rPr>
                <w:rFonts w:ascii="Times New Roman" w:hAnsi="Times New Roman" w:eastAsia="楷体_GB2312" w:cs="Times New Roman"/>
                <w:sz w:val="22"/>
              </w:rPr>
              <w:t>注： 1.国有土地收益基金收入增加主要是上年部分暂未结算地块在2022年结算，计提金额相应增加。</w:t>
            </w:r>
          </w:p>
        </w:tc>
      </w:tr>
      <w:tr>
        <w:tblPrEx>
          <w:tblCellMar>
            <w:top w:w="0" w:type="dxa"/>
            <w:left w:w="108" w:type="dxa"/>
            <w:bottom w:w="0" w:type="dxa"/>
            <w:right w:w="108" w:type="dxa"/>
          </w:tblCellMar>
        </w:tblPrEx>
        <w:trPr>
          <w:trHeight w:val="587" w:hRule="atLeast"/>
          <w:jc w:val="center"/>
        </w:trPr>
        <w:tc>
          <w:tcPr>
            <w:tcW w:w="9192"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2.农业土地开发资金收入增加主要是上年部分暂未结算地块在2022年结算，计提金额相应增加。</w:t>
            </w:r>
          </w:p>
        </w:tc>
      </w:tr>
      <w:tr>
        <w:tblPrEx>
          <w:tblCellMar>
            <w:top w:w="0" w:type="dxa"/>
            <w:left w:w="108" w:type="dxa"/>
            <w:bottom w:w="0" w:type="dxa"/>
            <w:right w:w="108" w:type="dxa"/>
          </w:tblCellMar>
        </w:tblPrEx>
        <w:trPr>
          <w:trHeight w:val="344" w:hRule="atLeast"/>
          <w:jc w:val="center"/>
        </w:trPr>
        <w:tc>
          <w:tcPr>
            <w:tcW w:w="9192"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3.彩票公益金收入减少主要是公益彩票实际收入减少。</w:t>
            </w:r>
          </w:p>
        </w:tc>
      </w:tr>
      <w:tr>
        <w:tblPrEx>
          <w:tblCellMar>
            <w:top w:w="0" w:type="dxa"/>
            <w:left w:w="108" w:type="dxa"/>
            <w:bottom w:w="0" w:type="dxa"/>
            <w:right w:w="108" w:type="dxa"/>
          </w:tblCellMar>
        </w:tblPrEx>
        <w:trPr>
          <w:trHeight w:val="321" w:hRule="atLeast"/>
          <w:jc w:val="center"/>
        </w:trPr>
        <w:tc>
          <w:tcPr>
            <w:tcW w:w="9192"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4.城市基础设施配套费收入减少主要是土地出让减少，相应计提减少。</w:t>
            </w:r>
          </w:p>
        </w:tc>
      </w:tr>
      <w:tr>
        <w:tblPrEx>
          <w:tblCellMar>
            <w:top w:w="0" w:type="dxa"/>
            <w:left w:w="108" w:type="dxa"/>
            <w:bottom w:w="0" w:type="dxa"/>
            <w:right w:w="108" w:type="dxa"/>
          </w:tblCellMar>
        </w:tblPrEx>
        <w:trPr>
          <w:trHeight w:val="344" w:hRule="atLeast"/>
          <w:jc w:val="center"/>
        </w:trPr>
        <w:tc>
          <w:tcPr>
            <w:tcW w:w="9192"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5.污水处理费收入增加主要是以前年度应收未收款入库。</w:t>
            </w:r>
          </w:p>
        </w:tc>
      </w:tr>
      <w:tr>
        <w:tblPrEx>
          <w:tblCellMar>
            <w:top w:w="0" w:type="dxa"/>
            <w:left w:w="108" w:type="dxa"/>
            <w:bottom w:w="0" w:type="dxa"/>
            <w:right w:w="108" w:type="dxa"/>
          </w:tblCellMar>
        </w:tblPrEx>
        <w:trPr>
          <w:trHeight w:val="363" w:hRule="atLeast"/>
          <w:jc w:val="center"/>
        </w:trPr>
        <w:tc>
          <w:tcPr>
            <w:tcW w:w="9192"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6.其他政府性基金收入增加主要是指标调剂款收入增加。</w:t>
            </w:r>
          </w:p>
        </w:tc>
      </w:tr>
    </w:tbl>
    <w:p>
      <w:pPr>
        <w:spacing w:line="60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2022年政府性基金支出执行情况表</w:t>
      </w:r>
    </w:p>
    <w:p>
      <w:pPr>
        <w:rPr>
          <w:rFonts w:ascii="Times New Roman" w:hAnsi="Times New Roman" w:eastAsia="楷体_GB2312" w:cs="Times New Roman"/>
          <w:color w:val="000000" w:themeColor="text1"/>
          <w:kern w:val="0"/>
          <w:sz w:val="24"/>
          <w:szCs w:val="2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表七                                                         单位：万元</w:t>
      </w:r>
    </w:p>
    <w:tbl>
      <w:tblPr>
        <w:tblStyle w:val="7"/>
        <w:tblW w:w="91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74"/>
        <w:gridCol w:w="1208"/>
        <w:gridCol w:w="979"/>
        <w:gridCol w:w="1208"/>
        <w:gridCol w:w="1208"/>
        <w:gridCol w:w="12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tblHeader/>
          <w:jc w:val="center"/>
        </w:trPr>
        <w:tc>
          <w:tcPr>
            <w:tcW w:w="3374"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1208"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预算数</w:t>
            </w:r>
          </w:p>
        </w:tc>
        <w:tc>
          <w:tcPr>
            <w:tcW w:w="979"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调整后预算数</w:t>
            </w:r>
          </w:p>
        </w:tc>
        <w:tc>
          <w:tcPr>
            <w:tcW w:w="1208"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执行数</w:t>
            </w:r>
          </w:p>
        </w:tc>
        <w:tc>
          <w:tcPr>
            <w:tcW w:w="1208"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完成调整后预算%</w:t>
            </w:r>
          </w:p>
        </w:tc>
        <w:tc>
          <w:tcPr>
            <w:tcW w:w="1208"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比上年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blHeader/>
          <w:jc w:val="center"/>
        </w:trPr>
        <w:tc>
          <w:tcPr>
            <w:tcW w:w="3374" w:type="dxa"/>
            <w:vMerge w:val="continue"/>
            <w:vAlign w:val="center"/>
          </w:tcPr>
          <w:p>
            <w:pPr>
              <w:widowControl/>
              <w:jc w:val="left"/>
              <w:rPr>
                <w:rFonts w:ascii="Times New Roman" w:hAnsi="Times New Roman" w:eastAsia="黑体" w:cs="Times New Roman"/>
                <w:color w:val="000000"/>
                <w:kern w:val="0"/>
                <w:sz w:val="24"/>
                <w:szCs w:val="24"/>
              </w:rPr>
            </w:pPr>
          </w:p>
        </w:tc>
        <w:tc>
          <w:tcPr>
            <w:tcW w:w="1208" w:type="dxa"/>
            <w:vMerge w:val="continue"/>
            <w:vAlign w:val="center"/>
          </w:tcPr>
          <w:p>
            <w:pPr>
              <w:widowControl/>
              <w:jc w:val="left"/>
              <w:rPr>
                <w:rFonts w:ascii="Times New Roman" w:hAnsi="Times New Roman" w:eastAsia="黑体" w:cs="Times New Roman"/>
                <w:color w:val="000000"/>
                <w:kern w:val="0"/>
                <w:sz w:val="24"/>
                <w:szCs w:val="24"/>
              </w:rPr>
            </w:pPr>
          </w:p>
        </w:tc>
        <w:tc>
          <w:tcPr>
            <w:tcW w:w="979" w:type="dxa"/>
            <w:vMerge w:val="continue"/>
            <w:vAlign w:val="center"/>
          </w:tcPr>
          <w:p>
            <w:pPr>
              <w:widowControl/>
              <w:jc w:val="left"/>
              <w:rPr>
                <w:rFonts w:ascii="Times New Roman" w:hAnsi="Times New Roman" w:eastAsia="黑体" w:cs="Times New Roman"/>
                <w:color w:val="000000"/>
                <w:kern w:val="0"/>
                <w:sz w:val="24"/>
                <w:szCs w:val="24"/>
              </w:rPr>
            </w:pPr>
          </w:p>
        </w:tc>
        <w:tc>
          <w:tcPr>
            <w:tcW w:w="1208" w:type="dxa"/>
            <w:vMerge w:val="continue"/>
            <w:vAlign w:val="center"/>
          </w:tcPr>
          <w:p>
            <w:pPr>
              <w:widowControl/>
              <w:jc w:val="left"/>
              <w:rPr>
                <w:rFonts w:ascii="Times New Roman" w:hAnsi="Times New Roman" w:eastAsia="黑体" w:cs="Times New Roman"/>
                <w:color w:val="000000"/>
                <w:kern w:val="0"/>
                <w:sz w:val="24"/>
                <w:szCs w:val="24"/>
              </w:rPr>
            </w:pPr>
          </w:p>
        </w:tc>
        <w:tc>
          <w:tcPr>
            <w:tcW w:w="1208" w:type="dxa"/>
            <w:vMerge w:val="continue"/>
            <w:vAlign w:val="center"/>
          </w:tcPr>
          <w:p>
            <w:pPr>
              <w:widowControl/>
              <w:jc w:val="left"/>
              <w:rPr>
                <w:rFonts w:ascii="Times New Roman" w:hAnsi="Times New Roman" w:eastAsia="黑体" w:cs="Times New Roman"/>
                <w:color w:val="000000"/>
                <w:kern w:val="0"/>
                <w:sz w:val="24"/>
                <w:szCs w:val="24"/>
              </w:rPr>
            </w:pPr>
          </w:p>
        </w:tc>
        <w:tc>
          <w:tcPr>
            <w:tcW w:w="1208" w:type="dxa"/>
            <w:vMerge w:val="continue"/>
            <w:vAlign w:val="center"/>
          </w:tcPr>
          <w:p>
            <w:pPr>
              <w:widowControl/>
              <w:jc w:val="left"/>
              <w:rPr>
                <w:rFonts w:ascii="Times New Roman" w:hAnsi="Times New Roman" w:eastAsia="黑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604036</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752036</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605211</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80.5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（一）文化旅游体育与传媒支出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旅游发展基金支出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地方旅游开发项目补助</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（二）社会保障和就业支出</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3559</w:t>
            </w:r>
          </w:p>
        </w:tc>
        <w:tc>
          <w:tcPr>
            <w:tcW w:w="9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3559</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4325</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121.5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大中型水库移民后期扶持基金支出</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3559</w:t>
            </w:r>
          </w:p>
        </w:tc>
        <w:tc>
          <w:tcPr>
            <w:tcW w:w="9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3559</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4325</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121.5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移民补助</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2337</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2337</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2059</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88.1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基础设施建设和经济发展</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1222</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1222</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2266</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185.4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（三）城乡社区支出</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558250</w:t>
            </w:r>
          </w:p>
        </w:tc>
        <w:tc>
          <w:tcPr>
            <w:tcW w:w="9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558250</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413606</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74.1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国有土地使用权出让收入安排的支出</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541439</w:t>
            </w:r>
          </w:p>
        </w:tc>
        <w:tc>
          <w:tcPr>
            <w:tcW w:w="9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541439</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392133</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72.4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征地和拆迁补偿支出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40000</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40000</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11284</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28.2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土地开发支出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90000</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90000</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61757</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68.6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城市建设支出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68714</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68714</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76405</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111.2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农村基础设施建设支出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76972</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76972</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50988</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66.2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补助被征地农民支出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110000</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110000</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161882</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147.2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土地出让业务支出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6826</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6826</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5682</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83.2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廉租住房支出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13000</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13000</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棚户区改造支出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43000</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43000</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14104</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32.8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其他国有土地使用权出让收入安排的支出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92927</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92927</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10031</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国有土地收益基金安排的支出</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13800</w:t>
            </w:r>
          </w:p>
        </w:tc>
        <w:tc>
          <w:tcPr>
            <w:tcW w:w="9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13800</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18476</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133.9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土地开发支出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13800</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13800</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18476</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133.9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城市基础设施配套费安排的支出</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471</w:t>
            </w:r>
          </w:p>
        </w:tc>
        <w:tc>
          <w:tcPr>
            <w:tcW w:w="9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471</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457</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97.0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其他城市基础设施配套费安排的支出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471</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471</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457</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97.0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污水处理费安排的支出</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2540</w:t>
            </w:r>
          </w:p>
        </w:tc>
        <w:tc>
          <w:tcPr>
            <w:tcW w:w="9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2540</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2540</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污水处理设施建设和运营</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2500</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2500</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2500</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代征手续费</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（四）农林水支出</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158</w:t>
            </w:r>
          </w:p>
        </w:tc>
        <w:tc>
          <w:tcPr>
            <w:tcW w:w="9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158</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102.5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大中型水库库区基金安排的支出</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158</w:t>
            </w:r>
          </w:p>
        </w:tc>
        <w:tc>
          <w:tcPr>
            <w:tcW w:w="9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158</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102.5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基础设施建设和经济发展</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158</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158</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102.5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（五）其他支出</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25859</w:t>
            </w:r>
          </w:p>
        </w:tc>
        <w:tc>
          <w:tcPr>
            <w:tcW w:w="9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173859</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172008</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98.9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其他政府性基金及对应专项债务收入安排的支出</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23083</w:t>
            </w:r>
          </w:p>
        </w:tc>
        <w:tc>
          <w:tcPr>
            <w:tcW w:w="9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171083</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170043</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99.4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其他政府性基金安排的支出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23083</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23083</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22043</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95.5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其他地方自行试点项目收益专项债券收入安排的支出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148000</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148000</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彩票公益金安排的支出</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2776</w:t>
            </w:r>
          </w:p>
        </w:tc>
        <w:tc>
          <w:tcPr>
            <w:tcW w:w="9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2776</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1965</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70.8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用于社会福利的彩票公益金支出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1806</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1806</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1154</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63.9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用于体育事业的彩票公益金支出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853</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853</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686</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80.4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用于教育事业的彩票公益金支出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用于残疾人事业的彩票公益金支出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用于城乡医疗救助的彩票公益金支出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（六）债务付息支出</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16100</w:t>
            </w:r>
          </w:p>
        </w:tc>
        <w:tc>
          <w:tcPr>
            <w:tcW w:w="9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16100</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14939</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92.8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地方政府专项债务付息支出</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16100</w:t>
            </w:r>
          </w:p>
        </w:tc>
        <w:tc>
          <w:tcPr>
            <w:tcW w:w="9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16100</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14939</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92.8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国有土地使用权出让金债务付息支出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12500</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12500</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11483</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91.9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政府收费公路专项债券付息支出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159</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79.5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其他地方自行试点项目收益专项债券付息支出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3400</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3400</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3297</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97.0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374"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（七）债务发行费用支出</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w:t>
            </w:r>
          </w:p>
        </w:tc>
        <w:tc>
          <w:tcPr>
            <w:tcW w:w="9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171</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155.5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374"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地方政府专项债务发行费用支出</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w:t>
            </w:r>
          </w:p>
        </w:tc>
        <w:tc>
          <w:tcPr>
            <w:tcW w:w="9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171</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155.5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国有土地使用权出让金债务发行费用支出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70.0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政府收费公路专项债券发行费用支出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374"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其他地方自行试点项目收益专项债券发行费用支出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406.7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374" w:type="dxa"/>
            <w:shd w:val="clear" w:color="auto" w:fill="auto"/>
            <w:vAlign w:val="center"/>
          </w:tcPr>
          <w:p>
            <w:pPr>
              <w:widowControl/>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二、预计转移性支出</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223149</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223149</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310023</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374"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（一）调出资金</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157885</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157885</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230000</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374"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（二）地方政府专项债务还本支出</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57491</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57491</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57491</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374"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（三）结转下年支出</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7773</w:t>
            </w:r>
          </w:p>
        </w:tc>
        <w:tc>
          <w:tcPr>
            <w:tcW w:w="97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7773</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22532</w:t>
            </w:r>
          </w:p>
        </w:tc>
        <w:tc>
          <w:tcPr>
            <w:tcW w:w="120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374" w:type="dxa"/>
            <w:shd w:val="clear" w:color="auto" w:fill="auto"/>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支出合计</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827185</w:t>
            </w:r>
          </w:p>
        </w:tc>
        <w:tc>
          <w:tcPr>
            <w:tcW w:w="9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975185</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915234</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8"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rPr>
          <w:rFonts w:ascii="Times New Roman" w:hAnsi="Times New Roman" w:cs="Times New Roman"/>
        </w:rPr>
      </w:pPr>
    </w:p>
    <w:tbl>
      <w:tblPr>
        <w:tblStyle w:val="7"/>
        <w:tblW w:w="8820" w:type="dxa"/>
        <w:tblInd w:w="108" w:type="dxa"/>
        <w:tblLayout w:type="fixed"/>
        <w:tblCellMar>
          <w:top w:w="0" w:type="dxa"/>
          <w:left w:w="108" w:type="dxa"/>
          <w:bottom w:w="0" w:type="dxa"/>
          <w:right w:w="108" w:type="dxa"/>
        </w:tblCellMar>
      </w:tblPr>
      <w:tblGrid>
        <w:gridCol w:w="8820"/>
      </w:tblGrid>
      <w:tr>
        <w:tblPrEx>
          <w:tblCellMar>
            <w:top w:w="0" w:type="dxa"/>
            <w:left w:w="108" w:type="dxa"/>
            <w:bottom w:w="0" w:type="dxa"/>
            <w:right w:w="108" w:type="dxa"/>
          </w:tblCellMar>
        </w:tblPrEx>
        <w:trPr>
          <w:trHeight w:val="360" w:hRule="atLeast"/>
        </w:trPr>
        <w:tc>
          <w:tcPr>
            <w:tcW w:w="8820" w:type="dxa"/>
            <w:tcBorders>
              <w:top w:val="nil"/>
              <w:left w:val="nil"/>
              <w:bottom w:val="nil"/>
              <w:right w:val="nil"/>
            </w:tcBorders>
            <w:shd w:val="clear" w:color="auto" w:fill="auto"/>
            <w:vAlign w:val="center"/>
          </w:tcPr>
          <w:p>
            <w:pPr>
              <w:widowControl/>
              <w:jc w:val="left"/>
              <w:rPr>
                <w:rFonts w:ascii="Times New Roman" w:hAnsi="Times New Roman" w:eastAsia="楷体_GB2312" w:cs="Times New Roman"/>
                <w:sz w:val="22"/>
              </w:rPr>
            </w:pPr>
            <w:r>
              <w:rPr>
                <w:rFonts w:ascii="Times New Roman" w:hAnsi="Times New Roman" w:eastAsia="楷体_GB2312" w:cs="Times New Roman"/>
                <w:sz w:val="22"/>
              </w:rPr>
              <w:t>注：1.社会保险和就业支出增加主要是上级转移支付资金增加。</w:t>
            </w:r>
          </w:p>
        </w:tc>
      </w:tr>
      <w:tr>
        <w:tblPrEx>
          <w:tblCellMar>
            <w:top w:w="0" w:type="dxa"/>
            <w:left w:w="108" w:type="dxa"/>
            <w:bottom w:w="0" w:type="dxa"/>
            <w:right w:w="108" w:type="dxa"/>
          </w:tblCellMar>
        </w:tblPrEx>
        <w:trPr>
          <w:trHeight w:val="360" w:hRule="atLeast"/>
        </w:trPr>
        <w:tc>
          <w:tcPr>
            <w:tcW w:w="8820"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2.城乡社区支出增加主要是社保风险金计提以及暂付款清理支出增加。</w:t>
            </w:r>
          </w:p>
        </w:tc>
      </w:tr>
      <w:tr>
        <w:tblPrEx>
          <w:tblCellMar>
            <w:top w:w="0" w:type="dxa"/>
            <w:left w:w="108" w:type="dxa"/>
            <w:bottom w:w="0" w:type="dxa"/>
            <w:right w:w="108" w:type="dxa"/>
          </w:tblCellMar>
        </w:tblPrEx>
        <w:trPr>
          <w:trHeight w:val="360" w:hRule="atLeast"/>
        </w:trPr>
        <w:tc>
          <w:tcPr>
            <w:tcW w:w="8820"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3.农林水支出减少主要是上级转移支付资金减少。</w:t>
            </w:r>
          </w:p>
        </w:tc>
      </w:tr>
      <w:tr>
        <w:tblPrEx>
          <w:tblCellMar>
            <w:top w:w="0" w:type="dxa"/>
            <w:left w:w="108" w:type="dxa"/>
            <w:bottom w:w="0" w:type="dxa"/>
            <w:right w:w="108" w:type="dxa"/>
          </w:tblCellMar>
        </w:tblPrEx>
        <w:trPr>
          <w:trHeight w:val="360" w:hRule="atLeast"/>
        </w:trPr>
        <w:tc>
          <w:tcPr>
            <w:tcW w:w="8820"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4.其他支出增加主要是新增专项债券增加。</w:t>
            </w:r>
          </w:p>
        </w:tc>
      </w:tr>
      <w:tr>
        <w:tblPrEx>
          <w:tblCellMar>
            <w:top w:w="0" w:type="dxa"/>
            <w:left w:w="108" w:type="dxa"/>
            <w:bottom w:w="0" w:type="dxa"/>
            <w:right w:w="108" w:type="dxa"/>
          </w:tblCellMar>
        </w:tblPrEx>
        <w:trPr>
          <w:trHeight w:val="360" w:hRule="atLeast"/>
        </w:trPr>
        <w:tc>
          <w:tcPr>
            <w:tcW w:w="8820"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5.债务发行费用支出增加主要是专项债券发行增加。</w:t>
            </w:r>
          </w:p>
        </w:tc>
      </w:tr>
    </w:tbl>
    <w:p>
      <w:pPr>
        <w:widowControl/>
        <w:ind w:firstLine="440" w:firstLineChars="200"/>
        <w:jc w:val="left"/>
        <w:rPr>
          <w:rFonts w:ascii="Times New Roman" w:hAnsi="Times New Roman" w:eastAsia="楷体_GB2312" w:cs="Times New Roman"/>
          <w:sz w:val="22"/>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2022年政府性基金转移支付执行情况表</w:t>
      </w:r>
    </w:p>
    <w:p>
      <w:pPr>
        <w:spacing w:line="600" w:lineRule="exact"/>
        <w:jc w:val="center"/>
        <w:rPr>
          <w:rFonts w:ascii="Times New Roman" w:hAnsi="Times New Roman" w:eastAsia="方正小标宋简体" w:cs="Times New Roman"/>
          <w:color w:val="000000"/>
          <w:kern w:val="0"/>
          <w:sz w:val="44"/>
          <w:szCs w:val="4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表八                                                          单位：万元</w:t>
      </w:r>
    </w:p>
    <w:tbl>
      <w:tblPr>
        <w:tblStyle w:val="7"/>
        <w:tblW w:w="903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37"/>
        <w:gridCol w:w="2147"/>
        <w:gridCol w:w="2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0" w:hRule="atLeast"/>
          <w:jc w:val="center"/>
        </w:trPr>
        <w:tc>
          <w:tcPr>
            <w:tcW w:w="4737" w:type="dxa"/>
            <w:shd w:val="clear" w:color="auto" w:fill="auto"/>
            <w:noWrap/>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2147" w:type="dxa"/>
            <w:shd w:val="clear" w:color="auto" w:fill="auto"/>
            <w:noWrap/>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2022年预算数</w:t>
            </w:r>
          </w:p>
        </w:tc>
        <w:tc>
          <w:tcPr>
            <w:tcW w:w="2147" w:type="dxa"/>
            <w:shd w:val="clear" w:color="auto" w:fill="auto"/>
            <w:noWrap/>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2022年执行数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0" w:hRule="atLeast"/>
          <w:jc w:val="center"/>
        </w:trPr>
        <w:tc>
          <w:tcPr>
            <w:tcW w:w="473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政府性基金转移支付</w:t>
            </w:r>
          </w:p>
        </w:tc>
        <w:tc>
          <w:tcPr>
            <w:tcW w:w="214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214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widowControl/>
        <w:spacing w:before="156" w:beforeLines="50"/>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注：我市无对下安排的转移支付。</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spacing w:line="600" w:lineRule="exact"/>
        <w:jc w:val="center"/>
        <w:rPr>
          <w:rFonts w:hint="default" w:ascii="Times New Roman" w:hAnsi="Times New Roman" w:eastAsia="方正小标宋简体" w:cs="Times New Roman"/>
          <w:color w:val="000000"/>
          <w:kern w:val="0"/>
          <w:sz w:val="44"/>
          <w:szCs w:val="44"/>
          <w:lang w:val="en-US" w:eastAsia="zh-CN"/>
        </w:rPr>
      </w:pPr>
      <w:r>
        <w:rPr>
          <w:rFonts w:hint="eastAsia" w:ascii="Times New Roman" w:hAnsi="Times New Roman" w:eastAsia="方正小标宋简体" w:cs="Times New Roman"/>
          <w:color w:val="000000"/>
          <w:kern w:val="0"/>
          <w:sz w:val="44"/>
          <w:szCs w:val="44"/>
          <w:lang w:val="en-US" w:eastAsia="zh-CN"/>
        </w:rPr>
        <w:t>关于</w:t>
      </w:r>
      <w:r>
        <w:rPr>
          <w:rFonts w:ascii="Times New Roman" w:hAnsi="Times New Roman" w:eastAsia="方正小标宋简体" w:cs="Times New Roman"/>
          <w:color w:val="000000"/>
          <w:kern w:val="0"/>
          <w:sz w:val="44"/>
          <w:szCs w:val="44"/>
        </w:rPr>
        <w:t>2022年政府性基金转移支付执行情况</w:t>
      </w:r>
      <w:r>
        <w:rPr>
          <w:rFonts w:hint="eastAsia" w:ascii="Times New Roman" w:hAnsi="Times New Roman" w:eastAsia="方正小标宋简体" w:cs="Times New Roman"/>
          <w:color w:val="000000"/>
          <w:kern w:val="0"/>
          <w:sz w:val="44"/>
          <w:szCs w:val="44"/>
          <w:lang w:val="en-US" w:eastAsia="zh-CN"/>
        </w:rPr>
        <w:t>的说明</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jc w:val="both"/>
        <w:textAlignment w:val="auto"/>
        <w:rPr>
          <w:rFonts w:hint="default" w:ascii="仿宋" w:hAnsi="仿宋" w:eastAsia="仿宋" w:cs="仿宋"/>
          <w:color w:val="000000" w:themeColor="text1"/>
          <w:spacing w:val="-6"/>
          <w:kern w:val="0"/>
          <w:sz w:val="32"/>
          <w:szCs w:val="32"/>
          <w:lang w:val="en-US" w:eastAsia="zh-CN"/>
        </w:rPr>
      </w:pPr>
      <w:r>
        <w:rPr>
          <w:rFonts w:hint="eastAsia" w:ascii="仿宋" w:hAnsi="仿宋" w:eastAsia="仿宋" w:cs="仿宋"/>
          <w:b/>
          <w:bCs/>
          <w:color w:val="000000" w:themeColor="text1"/>
          <w:spacing w:val="-6"/>
          <w:kern w:val="0"/>
          <w:sz w:val="32"/>
          <w:szCs w:val="32"/>
          <w:lang w:val="en-US" w:eastAsia="zh-CN"/>
        </w:rPr>
        <w:t>一、政府性基金转移支付。</w:t>
      </w:r>
      <w:r>
        <w:rPr>
          <w:rFonts w:hint="eastAsia" w:ascii="仿宋" w:hAnsi="仿宋" w:eastAsia="仿宋" w:cs="仿宋"/>
          <w:color w:val="000000" w:themeColor="text1"/>
          <w:spacing w:val="-6"/>
          <w:kern w:val="0"/>
          <w:sz w:val="32"/>
          <w:szCs w:val="32"/>
          <w:lang w:val="en-US" w:eastAsia="zh-CN"/>
        </w:rPr>
        <w:t>2022年我市政府性基金转移支付预算数为0，执行数为0。</w:t>
      </w: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both"/>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bookmarkStart w:id="5" w:name="RANGE!A1:F18"/>
      <w:r>
        <w:rPr>
          <w:rFonts w:ascii="Times New Roman" w:hAnsi="Times New Roman" w:eastAsia="方正小标宋简体" w:cs="Times New Roman"/>
          <w:color w:val="000000"/>
          <w:kern w:val="0"/>
          <w:sz w:val="44"/>
          <w:szCs w:val="44"/>
        </w:rPr>
        <w:t>2022年国有资本经营预算收入执行情况表</w:t>
      </w:r>
      <w:bookmarkEnd w:id="5"/>
    </w:p>
    <w:p>
      <w:pPr>
        <w:rPr>
          <w:rFonts w:ascii="Times New Roman" w:hAnsi="Times New Roman" w:eastAsia="楷体_GB2312" w:cs="Times New Roman"/>
          <w:color w:val="000000" w:themeColor="text1"/>
          <w:kern w:val="0"/>
          <w:sz w:val="24"/>
          <w:szCs w:val="2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表九                                                          单位：万元</w:t>
      </w:r>
    </w:p>
    <w:tbl>
      <w:tblPr>
        <w:tblStyle w:val="7"/>
        <w:tblW w:w="91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551"/>
        <w:gridCol w:w="1091"/>
        <w:gridCol w:w="1091"/>
        <w:gridCol w:w="1046"/>
        <w:gridCol w:w="1203"/>
        <w:gridCol w:w="12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9" w:hRule="atLeast"/>
          <w:jc w:val="center"/>
        </w:trPr>
        <w:tc>
          <w:tcPr>
            <w:tcW w:w="3551" w:type="dxa"/>
            <w:shd w:val="clear" w:color="auto" w:fill="auto"/>
            <w:noWrap/>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1091"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预算数</w:t>
            </w:r>
          </w:p>
        </w:tc>
        <w:tc>
          <w:tcPr>
            <w:tcW w:w="1091"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2022年调整后</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预算数</w:t>
            </w:r>
          </w:p>
        </w:tc>
        <w:tc>
          <w:tcPr>
            <w:tcW w:w="1046"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执行数</w:t>
            </w:r>
          </w:p>
        </w:tc>
        <w:tc>
          <w:tcPr>
            <w:tcW w:w="1203"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为调整后预算%</w:t>
            </w:r>
          </w:p>
        </w:tc>
        <w:tc>
          <w:tcPr>
            <w:tcW w:w="1203"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比上年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3551" w:type="dxa"/>
            <w:shd w:val="clear" w:color="auto" w:fill="auto"/>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一、本级收入</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04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3551"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（一）利润收入</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04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551"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其他国有资本经营预算企业利润收入</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551"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（二）股利、股息收入</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04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551"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其他国有资本经营预算企业股利、股息收入</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0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551"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（三）产权转让收入</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04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551"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其他国有资本经营预算企业产权转让收入</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551"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（四）清算收入</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551"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国有独资企业清算收入</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551"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（五）其他国有资本经营预算收入</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551" w:type="dxa"/>
            <w:shd w:val="clear" w:color="auto" w:fill="auto"/>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二、预计转移性收入</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04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551"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（一）上级转移支付收入</w:t>
            </w:r>
          </w:p>
        </w:tc>
        <w:tc>
          <w:tcPr>
            <w:tcW w:w="10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0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0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551"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（二）使用结转资金</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09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0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3551" w:type="dxa"/>
            <w:shd w:val="clear" w:color="auto" w:fill="auto"/>
            <w:noWrap/>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国有资本经营预算收入合计</w:t>
            </w:r>
          </w:p>
        </w:tc>
        <w:tc>
          <w:tcPr>
            <w:tcW w:w="10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1091"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10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0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widowControl/>
        <w:spacing w:before="156" w:beforeLines="50"/>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注：股利、股息收入减少主要是投资收益减少。</w:t>
      </w: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bookmarkStart w:id="6" w:name="RANGE!A1:F16"/>
      <w:r>
        <w:rPr>
          <w:rFonts w:ascii="Times New Roman" w:hAnsi="Times New Roman" w:eastAsia="方正小标宋简体" w:cs="Times New Roman"/>
          <w:color w:val="000000"/>
          <w:kern w:val="0"/>
          <w:sz w:val="44"/>
          <w:szCs w:val="44"/>
        </w:rPr>
        <w:t>2022年国有资本经营预算支出执行情况表</w:t>
      </w:r>
      <w:bookmarkEnd w:id="6"/>
    </w:p>
    <w:p>
      <w:pPr>
        <w:rPr>
          <w:rFonts w:ascii="Times New Roman" w:hAnsi="Times New Roman" w:eastAsia="楷体_GB2312" w:cs="Times New Roman"/>
          <w:color w:val="000000" w:themeColor="text1"/>
          <w:kern w:val="0"/>
          <w:sz w:val="24"/>
          <w:szCs w:val="2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表十                                                          单位：万元</w:t>
      </w:r>
    </w:p>
    <w:tbl>
      <w:tblPr>
        <w:tblStyle w:val="7"/>
        <w:tblW w:w="91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678"/>
        <w:gridCol w:w="1116"/>
        <w:gridCol w:w="982"/>
        <w:gridCol w:w="1116"/>
        <w:gridCol w:w="1228"/>
        <w:gridCol w:w="10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5" w:hRule="atLeast"/>
          <w:jc w:val="center"/>
        </w:trPr>
        <w:tc>
          <w:tcPr>
            <w:tcW w:w="3678" w:type="dxa"/>
            <w:shd w:val="clear" w:color="auto" w:fill="auto"/>
            <w:noWrap/>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1116"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预算数</w:t>
            </w:r>
          </w:p>
        </w:tc>
        <w:tc>
          <w:tcPr>
            <w:tcW w:w="982"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2022年调整后</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预算数</w:t>
            </w:r>
          </w:p>
        </w:tc>
        <w:tc>
          <w:tcPr>
            <w:tcW w:w="1116"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执行数</w:t>
            </w:r>
          </w:p>
        </w:tc>
        <w:tc>
          <w:tcPr>
            <w:tcW w:w="1228"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完成调整后预算%</w:t>
            </w:r>
          </w:p>
        </w:tc>
        <w:tc>
          <w:tcPr>
            <w:tcW w:w="1004"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比上年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3678" w:type="dxa"/>
            <w:shd w:val="clear" w:color="auto" w:fill="auto"/>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一、本级支出</w:t>
            </w:r>
          </w:p>
        </w:tc>
        <w:tc>
          <w:tcPr>
            <w:tcW w:w="111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98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11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228"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 xml:space="preserve">100.0 </w:t>
            </w:r>
          </w:p>
        </w:tc>
        <w:tc>
          <w:tcPr>
            <w:tcW w:w="10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3678"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（一）解决历史遗留问题及改革成本支出</w:t>
            </w:r>
          </w:p>
        </w:tc>
        <w:tc>
          <w:tcPr>
            <w:tcW w:w="111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98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11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228"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 xml:space="preserve">100.0 </w:t>
            </w:r>
          </w:p>
        </w:tc>
        <w:tc>
          <w:tcPr>
            <w:tcW w:w="10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3678"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国有企业退休人员社会化管理补助支出</w:t>
            </w:r>
          </w:p>
        </w:tc>
        <w:tc>
          <w:tcPr>
            <w:tcW w:w="111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98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11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228"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 xml:space="preserve">100.0 </w:t>
            </w:r>
          </w:p>
        </w:tc>
        <w:tc>
          <w:tcPr>
            <w:tcW w:w="10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3678"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（二）国有企业资本金注入</w:t>
            </w:r>
          </w:p>
        </w:tc>
        <w:tc>
          <w:tcPr>
            <w:tcW w:w="111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8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28"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　</w:t>
            </w:r>
          </w:p>
        </w:tc>
        <w:tc>
          <w:tcPr>
            <w:tcW w:w="10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3678"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其他国有企业资本金注入</w:t>
            </w:r>
          </w:p>
        </w:tc>
        <w:tc>
          <w:tcPr>
            <w:tcW w:w="111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8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28"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　</w:t>
            </w:r>
          </w:p>
        </w:tc>
        <w:tc>
          <w:tcPr>
            <w:tcW w:w="10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3678"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（三）其他国有资本经营预算支出</w:t>
            </w:r>
          </w:p>
        </w:tc>
        <w:tc>
          <w:tcPr>
            <w:tcW w:w="111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8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28"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　</w:t>
            </w:r>
          </w:p>
        </w:tc>
        <w:tc>
          <w:tcPr>
            <w:tcW w:w="10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3678"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其他国有资本经营预算支出</w:t>
            </w:r>
          </w:p>
        </w:tc>
        <w:tc>
          <w:tcPr>
            <w:tcW w:w="111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8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28"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　</w:t>
            </w:r>
          </w:p>
        </w:tc>
        <w:tc>
          <w:tcPr>
            <w:tcW w:w="10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3678" w:type="dxa"/>
            <w:shd w:val="clear" w:color="auto" w:fill="auto"/>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二、转移性支出</w:t>
            </w:r>
          </w:p>
        </w:tc>
        <w:tc>
          <w:tcPr>
            <w:tcW w:w="111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98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11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228"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　</w:t>
            </w:r>
          </w:p>
        </w:tc>
        <w:tc>
          <w:tcPr>
            <w:tcW w:w="10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3678"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（一）调出资金</w:t>
            </w:r>
          </w:p>
        </w:tc>
        <w:tc>
          <w:tcPr>
            <w:tcW w:w="111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98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11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228"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　</w:t>
            </w:r>
          </w:p>
        </w:tc>
        <w:tc>
          <w:tcPr>
            <w:tcW w:w="10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3678"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国有资本经营预算调出资金</w:t>
            </w:r>
          </w:p>
        </w:tc>
        <w:tc>
          <w:tcPr>
            <w:tcW w:w="111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98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11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228"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　</w:t>
            </w:r>
          </w:p>
        </w:tc>
        <w:tc>
          <w:tcPr>
            <w:tcW w:w="10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3678"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（二）结转下年支出</w:t>
            </w:r>
          </w:p>
        </w:tc>
        <w:tc>
          <w:tcPr>
            <w:tcW w:w="111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8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28"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　</w:t>
            </w:r>
          </w:p>
        </w:tc>
        <w:tc>
          <w:tcPr>
            <w:tcW w:w="10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3678" w:type="dxa"/>
            <w:shd w:val="clear" w:color="auto" w:fill="auto"/>
            <w:noWrap/>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国有资本经营预算支出合计</w:t>
            </w:r>
          </w:p>
        </w:tc>
        <w:tc>
          <w:tcPr>
            <w:tcW w:w="111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98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111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1228"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　</w:t>
            </w:r>
          </w:p>
        </w:tc>
        <w:tc>
          <w:tcPr>
            <w:tcW w:w="100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rPr>
          <w:rFonts w:ascii="Times New Roman" w:hAnsi="Times New Roman" w:cs="Times New Roman"/>
        </w:rPr>
      </w:pPr>
    </w:p>
    <w:tbl>
      <w:tblPr>
        <w:tblStyle w:val="7"/>
        <w:tblW w:w="9480" w:type="dxa"/>
        <w:tblInd w:w="108" w:type="dxa"/>
        <w:tblLayout w:type="fixed"/>
        <w:tblCellMar>
          <w:top w:w="0" w:type="dxa"/>
          <w:left w:w="108" w:type="dxa"/>
          <w:bottom w:w="0" w:type="dxa"/>
          <w:right w:w="108" w:type="dxa"/>
        </w:tblCellMar>
      </w:tblPr>
      <w:tblGrid>
        <w:gridCol w:w="9480"/>
      </w:tblGrid>
      <w:tr>
        <w:tblPrEx>
          <w:tblCellMar>
            <w:top w:w="0" w:type="dxa"/>
            <w:left w:w="108" w:type="dxa"/>
            <w:bottom w:w="0" w:type="dxa"/>
            <w:right w:w="108" w:type="dxa"/>
          </w:tblCellMar>
        </w:tblPrEx>
        <w:trPr>
          <w:trHeight w:val="270" w:hRule="atLeast"/>
        </w:trPr>
        <w:tc>
          <w:tcPr>
            <w:tcW w:w="9480"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sz w:val="22"/>
              </w:rPr>
            </w:pPr>
            <w:r>
              <w:rPr>
                <w:rFonts w:ascii="Times New Roman" w:hAnsi="Times New Roman" w:eastAsia="楷体_GB2312" w:cs="Times New Roman"/>
                <w:sz w:val="22"/>
              </w:rPr>
              <w:t>注：1、解决历史遗留问题及改革成本支出减少主要是职教幼教退休人员人数减少。</w:t>
            </w:r>
          </w:p>
        </w:tc>
      </w:tr>
    </w:tbl>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bookmarkStart w:id="7" w:name="RANGE!A1:E33"/>
      <w:r>
        <w:rPr>
          <w:rFonts w:ascii="Times New Roman" w:hAnsi="Times New Roman" w:eastAsia="方正小标宋简体" w:cs="Times New Roman"/>
          <w:color w:val="000000"/>
          <w:kern w:val="0"/>
          <w:sz w:val="44"/>
          <w:szCs w:val="44"/>
        </w:rPr>
        <w:t>2022年社会保险基金预算收入执行情况表</w:t>
      </w:r>
      <w:bookmarkEnd w:id="7"/>
    </w:p>
    <w:p>
      <w:pPr>
        <w:rPr>
          <w:rFonts w:ascii="Times New Roman" w:hAnsi="Times New Roman" w:eastAsia="楷体_GB2312" w:cs="Times New Roman"/>
          <w:color w:val="000000" w:themeColor="text1"/>
          <w:kern w:val="0"/>
          <w:sz w:val="24"/>
          <w:szCs w:val="2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表十一                                                        单位：万元</w:t>
      </w:r>
    </w:p>
    <w:tbl>
      <w:tblPr>
        <w:tblStyle w:val="7"/>
        <w:tblW w:w="90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62"/>
        <w:gridCol w:w="1159"/>
        <w:gridCol w:w="1159"/>
        <w:gridCol w:w="1158"/>
        <w:gridCol w:w="17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blHeader/>
          <w:jc w:val="center"/>
        </w:trPr>
        <w:tc>
          <w:tcPr>
            <w:tcW w:w="3762" w:type="dxa"/>
            <w:shd w:val="clear" w:color="auto" w:fill="auto"/>
            <w:vAlign w:val="center"/>
          </w:tcPr>
          <w:p>
            <w:pPr>
              <w:widowControl/>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项      目</w:t>
            </w:r>
          </w:p>
        </w:tc>
        <w:tc>
          <w:tcPr>
            <w:tcW w:w="1159" w:type="dxa"/>
            <w:shd w:val="clear" w:color="auto" w:fill="auto"/>
            <w:vAlign w:val="center"/>
          </w:tcPr>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2022年</w:t>
            </w:r>
            <w:r>
              <w:rPr>
                <w:rFonts w:ascii="Times New Roman" w:hAnsi="Times New Roman" w:eastAsia="黑体" w:cs="Times New Roman"/>
                <w:kern w:val="0"/>
                <w:sz w:val="22"/>
              </w:rPr>
              <w:br w:type="textWrapping"/>
            </w:r>
            <w:r>
              <w:rPr>
                <w:rFonts w:ascii="Times New Roman" w:hAnsi="Times New Roman" w:eastAsia="黑体" w:cs="Times New Roman"/>
                <w:kern w:val="0"/>
                <w:sz w:val="22"/>
              </w:rPr>
              <w:t>预算数</w:t>
            </w:r>
          </w:p>
        </w:tc>
        <w:tc>
          <w:tcPr>
            <w:tcW w:w="1159" w:type="dxa"/>
            <w:shd w:val="clear" w:color="auto" w:fill="auto"/>
            <w:vAlign w:val="center"/>
          </w:tcPr>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2022年</w:t>
            </w:r>
            <w:r>
              <w:rPr>
                <w:rFonts w:ascii="Times New Roman" w:hAnsi="Times New Roman" w:eastAsia="黑体" w:cs="Times New Roman"/>
                <w:kern w:val="0"/>
                <w:sz w:val="22"/>
              </w:rPr>
              <w:br w:type="textWrapping"/>
            </w:r>
            <w:r>
              <w:rPr>
                <w:rFonts w:ascii="Times New Roman" w:hAnsi="Times New Roman" w:eastAsia="黑体" w:cs="Times New Roman"/>
                <w:kern w:val="0"/>
                <w:sz w:val="22"/>
              </w:rPr>
              <w:t>执行数</w:t>
            </w:r>
          </w:p>
        </w:tc>
        <w:tc>
          <w:tcPr>
            <w:tcW w:w="1158" w:type="dxa"/>
            <w:shd w:val="clear" w:color="auto" w:fill="auto"/>
            <w:vAlign w:val="center"/>
          </w:tcPr>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完成</w:t>
            </w:r>
            <w:r>
              <w:rPr>
                <w:rFonts w:ascii="Times New Roman" w:hAnsi="Times New Roman" w:eastAsia="黑体" w:cs="Times New Roman"/>
                <w:kern w:val="0"/>
                <w:sz w:val="22"/>
              </w:rPr>
              <w:br w:type="textWrapping"/>
            </w:r>
            <w:r>
              <w:rPr>
                <w:rFonts w:ascii="Times New Roman" w:hAnsi="Times New Roman" w:eastAsia="黑体" w:cs="Times New Roman"/>
                <w:kern w:val="0"/>
                <w:sz w:val="22"/>
              </w:rPr>
              <w:t>预算%</w:t>
            </w:r>
          </w:p>
        </w:tc>
        <w:tc>
          <w:tcPr>
            <w:tcW w:w="1778" w:type="dxa"/>
            <w:shd w:val="clear" w:color="auto" w:fill="auto"/>
            <w:vAlign w:val="center"/>
          </w:tcPr>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比上年</w:t>
            </w:r>
            <w:r>
              <w:rPr>
                <w:rFonts w:ascii="Times New Roman" w:hAnsi="Times New Roman" w:eastAsia="黑体" w:cs="Times New Roman"/>
                <w:kern w:val="0"/>
                <w:sz w:val="22"/>
              </w:rPr>
              <w:br w:type="textWrapping"/>
            </w:r>
            <w:r>
              <w:rPr>
                <w:rFonts w:ascii="Times New Roman" w:hAnsi="Times New Roman" w:eastAsia="黑体" w:cs="Times New Roman"/>
                <w:kern w:val="0"/>
                <w:sz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社会保险基金收入合计</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134399</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165494</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123.1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49250</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75031</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财政补贴收入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83023</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85840</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458</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1385</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-76.1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上级补助收入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961</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其他社会保险基金收入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1621</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2277</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-70.4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（一）城乡居民基本养老保险基金收入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55201</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77879</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141.1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14638</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35507</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125.5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财政补贴收入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39127</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41927</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eastAsia="zh-CN"/>
              </w:rPr>
              <w:t xml:space="preserve"> </w:t>
            </w:r>
            <w:r>
              <w:rPr>
                <w:rFonts w:ascii="Times New Roman" w:hAnsi="Times New Roman" w:eastAsia="宋体" w:cs="Times New Roman"/>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其他居民基本养老保险基金收入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1434</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445</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-55.0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（二）机关事业单位基本养老保险基金收入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68061</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74127</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108.9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26022</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29561</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15.7 </w:t>
            </w:r>
          </w:p>
        </w:tc>
      </w:tr>
      <w:tr>
        <w:tblPrEx>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财政补贴收入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41517</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41534</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450</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1380</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-72.9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其他基本养老保险基金收入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1652</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1361.9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（三）工伤保险基金收入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6256</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7072</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113.0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3810</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4520</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财政补贴收入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2379</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2379</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上级补助收入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-52.0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其他工伤保险基金收入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95.0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（四）失业保险基金收入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4881</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6416</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131.4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4780</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5443</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上级补助收入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827</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3762" w:type="dxa"/>
            <w:shd w:val="clear" w:color="auto" w:fill="auto"/>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其他失业保险基金收入</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w:t>
            </w:r>
          </w:p>
        </w:tc>
        <w:tc>
          <w:tcPr>
            <w:tcW w:w="115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w:t>
            </w:r>
          </w:p>
        </w:tc>
        <w:tc>
          <w:tcPr>
            <w:tcW w:w="115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58.4 </w:t>
            </w:r>
          </w:p>
        </w:tc>
      </w:tr>
    </w:tbl>
    <w:p>
      <w:pPr>
        <w:rPr>
          <w:rFonts w:ascii="Times New Roman" w:hAnsi="Times New Roman" w:cs="Times New Roman"/>
        </w:rPr>
      </w:pPr>
    </w:p>
    <w:tbl>
      <w:tblPr>
        <w:tblStyle w:val="7"/>
        <w:tblW w:w="9002" w:type="dxa"/>
        <w:jc w:val="center"/>
        <w:tblLayout w:type="fixed"/>
        <w:tblCellMar>
          <w:top w:w="0" w:type="dxa"/>
          <w:left w:w="108" w:type="dxa"/>
          <w:bottom w:w="0" w:type="dxa"/>
          <w:right w:w="108" w:type="dxa"/>
        </w:tblCellMar>
      </w:tblPr>
      <w:tblGrid>
        <w:gridCol w:w="9002"/>
      </w:tblGrid>
      <w:tr>
        <w:tblPrEx>
          <w:tblCellMar>
            <w:top w:w="0" w:type="dxa"/>
            <w:left w:w="108" w:type="dxa"/>
            <w:bottom w:w="0" w:type="dxa"/>
            <w:right w:w="108" w:type="dxa"/>
          </w:tblCellMar>
        </w:tblPrEx>
        <w:trPr>
          <w:trHeight w:val="512" w:hRule="atLeast"/>
          <w:jc w:val="center"/>
        </w:trPr>
        <w:tc>
          <w:tcPr>
            <w:tcW w:w="9002" w:type="dxa"/>
            <w:tcBorders>
              <w:top w:val="nil"/>
              <w:left w:val="nil"/>
              <w:bottom w:val="nil"/>
              <w:right w:val="nil"/>
            </w:tcBorders>
            <w:shd w:val="clear" w:color="auto" w:fill="auto"/>
            <w:vAlign w:val="center"/>
          </w:tcPr>
          <w:p>
            <w:pPr>
              <w:widowControl/>
              <w:jc w:val="left"/>
              <w:rPr>
                <w:rFonts w:ascii="Times New Roman" w:hAnsi="Times New Roman" w:eastAsia="楷体_GB2312" w:cs="Times New Roman"/>
                <w:sz w:val="22"/>
              </w:rPr>
            </w:pPr>
            <w:r>
              <w:rPr>
                <w:rFonts w:ascii="Times New Roman" w:hAnsi="Times New Roman" w:eastAsia="楷体_GB2312" w:cs="Times New Roman"/>
                <w:sz w:val="22"/>
              </w:rPr>
              <w:t>注：1.社会保险基金收入减少主要是2022年基本医疗保险实行金华市级统筹后基金收入统一在金华市级体现</w:t>
            </w:r>
          </w:p>
        </w:tc>
      </w:tr>
      <w:tr>
        <w:tblPrEx>
          <w:tblCellMar>
            <w:top w:w="0" w:type="dxa"/>
            <w:left w:w="108" w:type="dxa"/>
            <w:bottom w:w="0" w:type="dxa"/>
            <w:right w:w="108" w:type="dxa"/>
          </w:tblCellMar>
        </w:tblPrEx>
        <w:trPr>
          <w:trHeight w:val="659" w:hRule="atLeast"/>
          <w:jc w:val="center"/>
        </w:trPr>
        <w:tc>
          <w:tcPr>
            <w:tcW w:w="9002"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2.城乡居民基本养老保险基金收入增加主要是被征地农民转居保高档次人员一次性收入和基础养老金标准提高财政补贴收入增加</w:t>
            </w:r>
          </w:p>
        </w:tc>
      </w:tr>
      <w:tr>
        <w:tblPrEx>
          <w:tblCellMar>
            <w:top w:w="0" w:type="dxa"/>
            <w:left w:w="108" w:type="dxa"/>
            <w:bottom w:w="0" w:type="dxa"/>
            <w:right w:w="108" w:type="dxa"/>
          </w:tblCellMar>
        </w:tblPrEx>
        <w:trPr>
          <w:trHeight w:val="512" w:hRule="atLeast"/>
          <w:jc w:val="center"/>
        </w:trPr>
        <w:tc>
          <w:tcPr>
            <w:tcW w:w="9002"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3.工伤保险基金收入增加主要是工程项目按造价征收保费收入和财政补贴收入增加</w:t>
            </w:r>
          </w:p>
        </w:tc>
      </w:tr>
      <w:tr>
        <w:tblPrEx>
          <w:tblCellMar>
            <w:top w:w="0" w:type="dxa"/>
            <w:left w:w="108" w:type="dxa"/>
            <w:bottom w:w="0" w:type="dxa"/>
            <w:right w:w="108" w:type="dxa"/>
          </w:tblCellMar>
        </w:tblPrEx>
        <w:trPr>
          <w:trHeight w:val="512" w:hRule="atLeast"/>
          <w:jc w:val="center"/>
        </w:trPr>
        <w:tc>
          <w:tcPr>
            <w:tcW w:w="9002"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4.失业保险基金收入增加主要是保费收入增加</w:t>
            </w:r>
          </w:p>
        </w:tc>
      </w:tr>
    </w:tbl>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bookmarkStart w:id="8" w:name="RANGE!A1:E27"/>
      <w:r>
        <w:rPr>
          <w:rFonts w:ascii="Times New Roman" w:hAnsi="Times New Roman" w:eastAsia="方正小标宋简体" w:cs="Times New Roman"/>
          <w:color w:val="000000"/>
          <w:kern w:val="0"/>
          <w:sz w:val="44"/>
          <w:szCs w:val="44"/>
        </w:rPr>
        <w:t>2022年社会保险基金预算支出执行情况表</w:t>
      </w:r>
      <w:bookmarkEnd w:id="8"/>
    </w:p>
    <w:p>
      <w:pPr>
        <w:rPr>
          <w:rFonts w:ascii="Times New Roman" w:hAnsi="Times New Roman" w:eastAsia="楷体_GB2312" w:cs="Times New Roman"/>
          <w:color w:val="000000" w:themeColor="text1"/>
          <w:kern w:val="0"/>
          <w:sz w:val="24"/>
          <w:szCs w:val="2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表十二                                                        单位：万元</w:t>
      </w:r>
    </w:p>
    <w:tbl>
      <w:tblPr>
        <w:tblStyle w:val="7"/>
        <w:tblW w:w="91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87"/>
        <w:gridCol w:w="970"/>
        <w:gridCol w:w="970"/>
        <w:gridCol w:w="837"/>
        <w:gridCol w:w="11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8" w:hRule="atLeast"/>
          <w:tblHeader/>
          <w:jc w:val="center"/>
        </w:trPr>
        <w:tc>
          <w:tcPr>
            <w:tcW w:w="5287" w:type="dxa"/>
            <w:shd w:val="clear" w:color="auto" w:fill="auto"/>
            <w:vAlign w:val="center"/>
          </w:tcPr>
          <w:p>
            <w:pPr>
              <w:widowControl/>
              <w:jc w:val="center"/>
              <w:rPr>
                <w:rFonts w:ascii="黑体" w:hAnsi="黑体" w:eastAsia="黑体" w:cs="Times New Roman"/>
                <w:kern w:val="0"/>
                <w:sz w:val="24"/>
                <w:szCs w:val="24"/>
              </w:rPr>
            </w:pPr>
            <w:r>
              <w:rPr>
                <w:rFonts w:ascii="黑体" w:hAnsi="黑体" w:eastAsia="黑体" w:cs="Times New Roman"/>
                <w:kern w:val="0"/>
                <w:sz w:val="24"/>
                <w:szCs w:val="24"/>
              </w:rPr>
              <w:t>项</w:t>
            </w:r>
            <w:r>
              <w:rPr>
                <w:rFonts w:hint="eastAsia" w:ascii="黑体" w:hAnsi="黑体" w:eastAsia="黑体" w:cs="Times New Roman"/>
                <w:kern w:val="0"/>
                <w:sz w:val="24"/>
                <w:szCs w:val="24"/>
              </w:rPr>
              <w:t xml:space="preserve">      </w:t>
            </w:r>
            <w:r>
              <w:rPr>
                <w:rFonts w:ascii="黑体" w:hAnsi="黑体" w:eastAsia="黑体" w:cs="Times New Roman"/>
                <w:kern w:val="0"/>
                <w:sz w:val="24"/>
                <w:szCs w:val="24"/>
              </w:rPr>
              <w:t>目</w:t>
            </w:r>
          </w:p>
        </w:tc>
        <w:tc>
          <w:tcPr>
            <w:tcW w:w="970" w:type="dxa"/>
            <w:shd w:val="clear" w:color="auto" w:fill="auto"/>
            <w:vAlign w:val="center"/>
          </w:tcPr>
          <w:p>
            <w:pPr>
              <w:widowControl/>
              <w:jc w:val="center"/>
              <w:rPr>
                <w:rFonts w:ascii="黑体" w:hAnsi="黑体" w:eastAsia="黑体" w:cs="Times New Roman"/>
                <w:kern w:val="0"/>
                <w:sz w:val="22"/>
              </w:rPr>
            </w:pPr>
            <w:r>
              <w:rPr>
                <w:rFonts w:ascii="黑体" w:hAnsi="黑体" w:eastAsia="黑体" w:cs="Times New Roman"/>
                <w:kern w:val="0"/>
                <w:sz w:val="22"/>
              </w:rPr>
              <w:t>2022年</w:t>
            </w:r>
            <w:r>
              <w:rPr>
                <w:rFonts w:ascii="黑体" w:hAnsi="黑体" w:eastAsia="黑体" w:cs="Times New Roman"/>
                <w:kern w:val="0"/>
                <w:sz w:val="22"/>
              </w:rPr>
              <w:br w:type="textWrapping"/>
            </w:r>
            <w:r>
              <w:rPr>
                <w:rFonts w:ascii="黑体" w:hAnsi="黑体" w:eastAsia="黑体" w:cs="Times New Roman"/>
                <w:kern w:val="0"/>
                <w:sz w:val="22"/>
              </w:rPr>
              <w:t>预算数</w:t>
            </w:r>
          </w:p>
        </w:tc>
        <w:tc>
          <w:tcPr>
            <w:tcW w:w="970" w:type="dxa"/>
            <w:shd w:val="clear" w:color="auto" w:fill="auto"/>
            <w:vAlign w:val="center"/>
          </w:tcPr>
          <w:p>
            <w:pPr>
              <w:widowControl/>
              <w:jc w:val="center"/>
              <w:rPr>
                <w:rFonts w:ascii="黑体" w:hAnsi="黑体" w:eastAsia="黑体" w:cs="Times New Roman"/>
                <w:kern w:val="0"/>
                <w:sz w:val="22"/>
              </w:rPr>
            </w:pPr>
            <w:r>
              <w:rPr>
                <w:rFonts w:ascii="黑体" w:hAnsi="黑体" w:eastAsia="黑体" w:cs="Times New Roman"/>
                <w:kern w:val="0"/>
                <w:sz w:val="22"/>
              </w:rPr>
              <w:t>2022年   执行数</w:t>
            </w:r>
          </w:p>
        </w:tc>
        <w:tc>
          <w:tcPr>
            <w:tcW w:w="837" w:type="dxa"/>
            <w:shd w:val="clear" w:color="auto" w:fill="auto"/>
            <w:vAlign w:val="center"/>
          </w:tcPr>
          <w:p>
            <w:pPr>
              <w:widowControl/>
              <w:jc w:val="center"/>
              <w:rPr>
                <w:rFonts w:ascii="黑体" w:hAnsi="黑体" w:eastAsia="黑体" w:cs="Times New Roman"/>
                <w:kern w:val="0"/>
                <w:sz w:val="22"/>
              </w:rPr>
            </w:pPr>
            <w:r>
              <w:rPr>
                <w:rFonts w:ascii="黑体" w:hAnsi="黑体" w:eastAsia="黑体" w:cs="Times New Roman"/>
                <w:kern w:val="0"/>
                <w:sz w:val="22"/>
              </w:rPr>
              <w:t>完成</w:t>
            </w:r>
            <w:r>
              <w:rPr>
                <w:rFonts w:ascii="黑体" w:hAnsi="黑体" w:eastAsia="黑体" w:cs="Times New Roman"/>
                <w:kern w:val="0"/>
                <w:sz w:val="22"/>
              </w:rPr>
              <w:br w:type="textWrapping"/>
            </w:r>
            <w:r>
              <w:rPr>
                <w:rFonts w:ascii="黑体" w:hAnsi="黑体" w:eastAsia="黑体" w:cs="Times New Roman"/>
                <w:kern w:val="0"/>
                <w:sz w:val="22"/>
              </w:rPr>
              <w:t>预算%</w:t>
            </w:r>
          </w:p>
        </w:tc>
        <w:tc>
          <w:tcPr>
            <w:tcW w:w="1121" w:type="dxa"/>
            <w:shd w:val="clear" w:color="auto" w:fill="auto"/>
            <w:vAlign w:val="center"/>
          </w:tcPr>
          <w:p>
            <w:pPr>
              <w:widowControl/>
              <w:jc w:val="center"/>
              <w:rPr>
                <w:rFonts w:ascii="黑体" w:hAnsi="黑体" w:eastAsia="黑体" w:cs="Times New Roman"/>
                <w:kern w:val="0"/>
                <w:sz w:val="22"/>
              </w:rPr>
            </w:pPr>
            <w:r>
              <w:rPr>
                <w:rFonts w:ascii="黑体" w:hAnsi="黑体" w:eastAsia="黑体" w:cs="Times New Roman"/>
                <w:kern w:val="0"/>
                <w:sz w:val="22"/>
              </w:rPr>
              <w:t>比上年</w:t>
            </w:r>
            <w:r>
              <w:rPr>
                <w:rFonts w:ascii="黑体" w:hAnsi="黑体" w:eastAsia="黑体" w:cs="Times New Roman"/>
                <w:kern w:val="0"/>
                <w:sz w:val="22"/>
              </w:rPr>
              <w:br w:type="textWrapping"/>
            </w:r>
            <w:r>
              <w:rPr>
                <w:rFonts w:ascii="黑体" w:hAnsi="黑体" w:eastAsia="黑体" w:cs="Times New Roman"/>
                <w:kern w:val="0"/>
                <w:sz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5287"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社会保险基金支出合计</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119874</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132077</w:t>
            </w:r>
          </w:p>
        </w:tc>
        <w:tc>
          <w:tcPr>
            <w:tcW w:w="83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110.2 </w:t>
            </w:r>
          </w:p>
        </w:tc>
        <w:tc>
          <w:tcPr>
            <w:tcW w:w="112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-51.7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5287"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其中:社会保险待遇支出</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118320</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130828</w:t>
            </w:r>
          </w:p>
        </w:tc>
        <w:tc>
          <w:tcPr>
            <w:tcW w:w="83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-51.8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5287"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转移支出</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1210</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855</w:t>
            </w:r>
          </w:p>
        </w:tc>
        <w:tc>
          <w:tcPr>
            <w:tcW w:w="83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5287"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上解上级支出</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344</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394</w:t>
            </w:r>
          </w:p>
        </w:tc>
        <w:tc>
          <w:tcPr>
            <w:tcW w:w="83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5287"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（一）城乡居民基本养老保险基金支出</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41397</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45230</w:t>
            </w:r>
          </w:p>
        </w:tc>
        <w:tc>
          <w:tcPr>
            <w:tcW w:w="83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109.3 </w:t>
            </w:r>
          </w:p>
        </w:tc>
        <w:tc>
          <w:tcPr>
            <w:tcW w:w="112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5287"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其中:保险待遇支出</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41397</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45189</w:t>
            </w:r>
          </w:p>
        </w:tc>
        <w:tc>
          <w:tcPr>
            <w:tcW w:w="83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5287"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转移支出</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3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5287"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其他居民基本养老保险基金支出</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w:t>
            </w:r>
          </w:p>
        </w:tc>
        <w:tc>
          <w:tcPr>
            <w:tcW w:w="83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5287"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（二）机关事业单位基本养老保险基金支出</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70059</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70447</w:t>
            </w:r>
          </w:p>
        </w:tc>
        <w:tc>
          <w:tcPr>
            <w:tcW w:w="83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100.6 </w:t>
            </w:r>
          </w:p>
        </w:tc>
        <w:tc>
          <w:tcPr>
            <w:tcW w:w="112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5287"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其中:基本养老金支出</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68863</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69598</w:t>
            </w:r>
          </w:p>
        </w:tc>
        <w:tc>
          <w:tcPr>
            <w:tcW w:w="83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5287"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转移支出</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1196</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849</w:t>
            </w:r>
          </w:p>
        </w:tc>
        <w:tc>
          <w:tcPr>
            <w:tcW w:w="83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5287"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（三）工伤保险基金支出</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6209</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7416</w:t>
            </w:r>
          </w:p>
        </w:tc>
        <w:tc>
          <w:tcPr>
            <w:tcW w:w="83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119.4 </w:t>
            </w:r>
          </w:p>
        </w:tc>
        <w:tc>
          <w:tcPr>
            <w:tcW w:w="112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5287"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其中:工伤保险待遇支出</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6152</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7348</w:t>
            </w:r>
          </w:p>
        </w:tc>
        <w:tc>
          <w:tcPr>
            <w:tcW w:w="83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5287"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上解上级支出</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w:t>
            </w:r>
          </w:p>
        </w:tc>
        <w:tc>
          <w:tcPr>
            <w:tcW w:w="83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5287"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（四）失业保险基金支出</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2209</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8984</w:t>
            </w:r>
          </w:p>
        </w:tc>
        <w:tc>
          <w:tcPr>
            <w:tcW w:w="83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406.7 </w:t>
            </w:r>
          </w:p>
        </w:tc>
        <w:tc>
          <w:tcPr>
            <w:tcW w:w="112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356.3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5287"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其中:失业保险基金支出</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1908</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4533</w:t>
            </w:r>
          </w:p>
        </w:tc>
        <w:tc>
          <w:tcPr>
            <w:tcW w:w="83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182.8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5287"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转移支出</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w:t>
            </w:r>
          </w:p>
        </w:tc>
        <w:tc>
          <w:tcPr>
            <w:tcW w:w="83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5287"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上解上级支出</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287</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326</w:t>
            </w:r>
          </w:p>
        </w:tc>
        <w:tc>
          <w:tcPr>
            <w:tcW w:w="83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5287"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其他失业保险基金支出</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70"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4119</w:t>
            </w:r>
          </w:p>
        </w:tc>
        <w:tc>
          <w:tcPr>
            <w:tcW w:w="83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5249.4 </w:t>
            </w:r>
          </w:p>
        </w:tc>
      </w:tr>
    </w:tbl>
    <w:p>
      <w:pPr>
        <w:rPr>
          <w:rFonts w:ascii="Times New Roman" w:hAnsi="Times New Roman" w:cs="Times New Roman"/>
        </w:rPr>
      </w:pPr>
    </w:p>
    <w:tbl>
      <w:tblPr>
        <w:tblStyle w:val="7"/>
        <w:tblW w:w="8839" w:type="dxa"/>
        <w:tblInd w:w="108" w:type="dxa"/>
        <w:tblLayout w:type="fixed"/>
        <w:tblCellMar>
          <w:top w:w="0" w:type="dxa"/>
          <w:left w:w="108" w:type="dxa"/>
          <w:bottom w:w="0" w:type="dxa"/>
          <w:right w:w="108" w:type="dxa"/>
        </w:tblCellMar>
      </w:tblPr>
      <w:tblGrid>
        <w:gridCol w:w="8839"/>
      </w:tblGrid>
      <w:tr>
        <w:tblPrEx>
          <w:tblCellMar>
            <w:top w:w="0" w:type="dxa"/>
            <w:left w:w="108" w:type="dxa"/>
            <w:bottom w:w="0" w:type="dxa"/>
            <w:right w:w="108" w:type="dxa"/>
          </w:tblCellMar>
        </w:tblPrEx>
        <w:trPr>
          <w:trHeight w:val="559" w:hRule="atLeast"/>
        </w:trPr>
        <w:tc>
          <w:tcPr>
            <w:tcW w:w="8839" w:type="dxa"/>
            <w:tcBorders>
              <w:top w:val="nil"/>
              <w:left w:val="nil"/>
              <w:bottom w:val="nil"/>
              <w:right w:val="nil"/>
            </w:tcBorders>
            <w:shd w:val="clear" w:color="auto" w:fill="auto"/>
            <w:vAlign w:val="center"/>
          </w:tcPr>
          <w:p>
            <w:pPr>
              <w:widowControl/>
              <w:rPr>
                <w:rFonts w:ascii="Times New Roman" w:hAnsi="Times New Roman" w:eastAsia="楷体_GB2312" w:cs="Times New Roman"/>
                <w:sz w:val="22"/>
              </w:rPr>
            </w:pPr>
            <w:r>
              <w:rPr>
                <w:rFonts w:ascii="Times New Roman" w:hAnsi="Times New Roman" w:eastAsia="楷体_GB2312" w:cs="Times New Roman"/>
                <w:sz w:val="22"/>
              </w:rPr>
              <w:t>注：1.社会保险基金支出减少主要是2022年基本医疗保险实行金华市级统筹后基金支出统一在金华市级体现</w:t>
            </w:r>
          </w:p>
        </w:tc>
      </w:tr>
      <w:tr>
        <w:tblPrEx>
          <w:tblCellMar>
            <w:top w:w="0" w:type="dxa"/>
            <w:left w:w="108" w:type="dxa"/>
            <w:bottom w:w="0" w:type="dxa"/>
            <w:right w:w="108" w:type="dxa"/>
          </w:tblCellMar>
        </w:tblPrEx>
        <w:trPr>
          <w:trHeight w:val="619" w:hRule="atLeast"/>
        </w:trPr>
        <w:tc>
          <w:tcPr>
            <w:tcW w:w="8839" w:type="dxa"/>
            <w:tcBorders>
              <w:top w:val="nil"/>
              <w:left w:val="nil"/>
              <w:bottom w:val="nil"/>
              <w:right w:val="nil"/>
            </w:tcBorders>
            <w:shd w:val="clear" w:color="auto" w:fill="auto"/>
            <w:vAlign w:val="center"/>
          </w:tcPr>
          <w:p>
            <w:pPr>
              <w:widowControl/>
              <w:ind w:firstLine="440" w:firstLineChars="200"/>
              <w:rPr>
                <w:rFonts w:ascii="Times New Roman" w:hAnsi="Times New Roman" w:eastAsia="楷体_GB2312" w:cs="Times New Roman"/>
                <w:sz w:val="22"/>
              </w:rPr>
            </w:pPr>
            <w:r>
              <w:rPr>
                <w:rFonts w:ascii="Times New Roman" w:hAnsi="Times New Roman" w:eastAsia="楷体_GB2312" w:cs="Times New Roman"/>
                <w:sz w:val="22"/>
              </w:rPr>
              <w:t>2.城乡居民基本养老保险基金支出增加主要是基础养老金标准提高和被征地农民转居保高档次人员待遇支出增加</w:t>
            </w:r>
          </w:p>
        </w:tc>
      </w:tr>
      <w:tr>
        <w:tblPrEx>
          <w:tblCellMar>
            <w:top w:w="0" w:type="dxa"/>
            <w:left w:w="108" w:type="dxa"/>
            <w:bottom w:w="0" w:type="dxa"/>
            <w:right w:w="108" w:type="dxa"/>
          </w:tblCellMar>
        </w:tblPrEx>
        <w:trPr>
          <w:trHeight w:val="499" w:hRule="atLeast"/>
        </w:trPr>
        <w:tc>
          <w:tcPr>
            <w:tcW w:w="8839" w:type="dxa"/>
            <w:tcBorders>
              <w:top w:val="nil"/>
              <w:left w:val="nil"/>
              <w:bottom w:val="nil"/>
              <w:right w:val="nil"/>
            </w:tcBorders>
            <w:shd w:val="clear" w:color="auto" w:fill="auto"/>
            <w:vAlign w:val="center"/>
          </w:tcPr>
          <w:p>
            <w:pPr>
              <w:widowControl/>
              <w:ind w:firstLine="440" w:firstLineChars="200"/>
              <w:rPr>
                <w:rFonts w:ascii="Times New Roman" w:hAnsi="Times New Roman" w:eastAsia="楷体_GB2312" w:cs="Times New Roman"/>
                <w:sz w:val="22"/>
              </w:rPr>
            </w:pPr>
            <w:r>
              <w:rPr>
                <w:rFonts w:ascii="Times New Roman" w:hAnsi="Times New Roman" w:eastAsia="楷体_GB2312" w:cs="Times New Roman"/>
                <w:sz w:val="22"/>
              </w:rPr>
              <w:t>3.机关事业单位基本养老保险基金支出增加主要是退休待遇调高及退休人员增加</w:t>
            </w:r>
          </w:p>
        </w:tc>
      </w:tr>
      <w:tr>
        <w:tblPrEx>
          <w:tblCellMar>
            <w:top w:w="0" w:type="dxa"/>
            <w:left w:w="108" w:type="dxa"/>
            <w:bottom w:w="0" w:type="dxa"/>
            <w:right w:w="108" w:type="dxa"/>
          </w:tblCellMar>
        </w:tblPrEx>
        <w:trPr>
          <w:trHeight w:val="499" w:hRule="atLeast"/>
        </w:trPr>
        <w:tc>
          <w:tcPr>
            <w:tcW w:w="8839" w:type="dxa"/>
            <w:tcBorders>
              <w:top w:val="nil"/>
              <w:left w:val="nil"/>
              <w:bottom w:val="nil"/>
              <w:right w:val="nil"/>
            </w:tcBorders>
            <w:shd w:val="clear" w:color="auto" w:fill="auto"/>
            <w:vAlign w:val="center"/>
          </w:tcPr>
          <w:p>
            <w:pPr>
              <w:widowControl/>
              <w:ind w:firstLine="440" w:firstLineChars="200"/>
              <w:rPr>
                <w:rFonts w:ascii="Times New Roman" w:hAnsi="Times New Roman" w:eastAsia="楷体_GB2312" w:cs="Times New Roman"/>
                <w:sz w:val="22"/>
              </w:rPr>
            </w:pPr>
            <w:r>
              <w:rPr>
                <w:rFonts w:ascii="Times New Roman" w:hAnsi="Times New Roman" w:eastAsia="楷体_GB2312" w:cs="Times New Roman"/>
                <w:sz w:val="22"/>
              </w:rPr>
              <w:t>4.工伤保险基金支出增加主要是工伤和工亡人数增加</w:t>
            </w:r>
          </w:p>
        </w:tc>
      </w:tr>
      <w:tr>
        <w:tblPrEx>
          <w:tblCellMar>
            <w:top w:w="0" w:type="dxa"/>
            <w:left w:w="108" w:type="dxa"/>
            <w:bottom w:w="0" w:type="dxa"/>
            <w:right w:w="108" w:type="dxa"/>
          </w:tblCellMar>
        </w:tblPrEx>
        <w:trPr>
          <w:trHeight w:val="499" w:hRule="atLeast"/>
        </w:trPr>
        <w:tc>
          <w:tcPr>
            <w:tcW w:w="8839" w:type="dxa"/>
            <w:tcBorders>
              <w:top w:val="nil"/>
              <w:left w:val="nil"/>
              <w:bottom w:val="nil"/>
              <w:right w:val="nil"/>
            </w:tcBorders>
            <w:shd w:val="clear" w:color="auto" w:fill="auto"/>
            <w:vAlign w:val="center"/>
          </w:tcPr>
          <w:p>
            <w:pPr>
              <w:widowControl/>
              <w:ind w:firstLine="440" w:firstLineChars="200"/>
              <w:rPr>
                <w:rFonts w:ascii="Times New Roman" w:hAnsi="Times New Roman" w:eastAsia="楷体_GB2312" w:cs="Times New Roman"/>
                <w:sz w:val="22"/>
              </w:rPr>
            </w:pPr>
            <w:r>
              <w:rPr>
                <w:rFonts w:ascii="Times New Roman" w:hAnsi="Times New Roman" w:eastAsia="楷体_GB2312" w:cs="Times New Roman"/>
                <w:sz w:val="22"/>
              </w:rPr>
              <w:t>5.失业保险基金支出增加主要是发放稳岗补贴支出2722万元、一次性留工补助支出3590万元</w:t>
            </w:r>
          </w:p>
        </w:tc>
      </w:tr>
    </w:tbl>
    <w:p>
      <w:pPr>
        <w:spacing w:line="600" w:lineRule="exact"/>
        <w:jc w:val="center"/>
        <w:rPr>
          <w:rFonts w:ascii="Times New Roman" w:hAnsi="Times New Roman" w:eastAsia="方正小标宋简体" w:cs="Times New Roman"/>
          <w:color w:val="000000"/>
          <w:kern w:val="0"/>
          <w:sz w:val="44"/>
          <w:szCs w:val="44"/>
        </w:rPr>
      </w:pPr>
      <w:bookmarkStart w:id="9" w:name="RANGE!A1:D52"/>
      <w:r>
        <w:rPr>
          <w:rFonts w:ascii="Times New Roman" w:hAnsi="Times New Roman" w:eastAsia="方正小标宋简体" w:cs="Times New Roman"/>
          <w:color w:val="000000"/>
          <w:kern w:val="0"/>
          <w:sz w:val="44"/>
          <w:szCs w:val="44"/>
        </w:rPr>
        <w:t>2023年一般公共预算收入预算表</w:t>
      </w:r>
      <w:bookmarkEnd w:id="9"/>
    </w:p>
    <w:p>
      <w:pPr>
        <w:rPr>
          <w:rFonts w:ascii="Times New Roman" w:hAnsi="Times New Roman" w:eastAsia="楷体_GB2312" w:cs="Times New Roman"/>
          <w:color w:val="000000" w:themeColor="text1"/>
          <w:kern w:val="0"/>
          <w:sz w:val="24"/>
          <w:szCs w:val="2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表十三                                                         单位：万元</w:t>
      </w:r>
    </w:p>
    <w:tbl>
      <w:tblPr>
        <w:tblStyle w:val="7"/>
        <w:tblW w:w="91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720"/>
        <w:gridCol w:w="1133"/>
        <w:gridCol w:w="1146"/>
        <w:gridCol w:w="11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6" w:hRule="atLeast"/>
          <w:tblHeader/>
          <w:jc w:val="center"/>
        </w:trPr>
        <w:tc>
          <w:tcPr>
            <w:tcW w:w="5720" w:type="dxa"/>
            <w:shd w:val="clear" w:color="auto" w:fill="auto"/>
            <w:noWrap/>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w:t>
            </w:r>
            <w:r>
              <w:rPr>
                <w:rFonts w:hint="eastAsia" w:ascii="Times New Roman" w:hAnsi="Times New Roman" w:eastAsia="黑体" w:cs="Times New Roman"/>
                <w:color w:val="000000"/>
                <w:kern w:val="0"/>
                <w:sz w:val="24"/>
                <w:szCs w:val="24"/>
              </w:rPr>
              <w:t xml:space="preserve">   </w:t>
            </w:r>
            <w:r>
              <w:rPr>
                <w:rFonts w:ascii="Times New Roman" w:hAnsi="Times New Roman" w:eastAsia="黑体" w:cs="Times New Roman"/>
                <w:color w:val="000000"/>
                <w:kern w:val="0"/>
                <w:sz w:val="24"/>
                <w:szCs w:val="24"/>
              </w:rPr>
              <w:t xml:space="preserve">  目</w:t>
            </w:r>
          </w:p>
        </w:tc>
        <w:tc>
          <w:tcPr>
            <w:tcW w:w="1133"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执行数</w:t>
            </w:r>
          </w:p>
        </w:tc>
        <w:tc>
          <w:tcPr>
            <w:tcW w:w="1146"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2023年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预算数</w:t>
            </w:r>
          </w:p>
        </w:tc>
        <w:tc>
          <w:tcPr>
            <w:tcW w:w="1186"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比上年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一、本级收入</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344951</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386345</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（一）税收收入小计</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250512</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319645</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增值税</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94369</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151745</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企业所得税</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43742</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55100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个人所得税</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15221</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资源税</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2666</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城市维护建设税</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16939</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房产税</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12026</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印花税</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6046</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城镇土地使用税</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10413</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土地增值税</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15274</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车船税</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3122</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耕地占用税</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5728</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契税</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24126</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环境保护税</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840</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其他税收收入</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（二）非税收入小计</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94439</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66700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专项收入</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16152</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其中:教育费附加收入</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7444</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1200" w:firstLineChars="5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地方教育附加收入</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4963</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1200" w:firstLineChars="5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残疾人就业保障金收入</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2533</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1200" w:firstLineChars="5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水利建设专项收入</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1200" w:firstLineChars="5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森林植被恢复费</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1196</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行政事业性收费收入</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4277</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罚没收入</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12428</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23880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国有资本经营收入</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-2200</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其中：国有企业计划亏损补贴</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-2200</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国有资源（资产）有偿使用收入</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62087</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政府住房基金收入</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1683</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其他收入</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二、转移性收入</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655932</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613560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（一）上级税收返还收入</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13183</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13183</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（二）上级转移支付收入</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284000</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260000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专项转移支付收入</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62600</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60000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一般性转移支付收入</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221400</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（三）地方政府一般债务转贷收入</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35000</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（四）调入资金</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267310</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270000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其中:从预算稳定调节基金调入</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20000</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960" w:firstLineChars="4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从政府性基金预算调入</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230000</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210000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960" w:firstLineChars="4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从国有资本经营预算调入</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ind w:firstLine="960" w:firstLineChars="4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从其他资金调入</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17220</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30000</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（五）使用结转资金</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56439</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50377</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720" w:type="dxa"/>
            <w:shd w:val="clear" w:color="auto" w:fill="auto"/>
            <w:noWrap/>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收入合计</w:t>
            </w:r>
          </w:p>
        </w:tc>
        <w:tc>
          <w:tcPr>
            <w:tcW w:w="11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1000883</w:t>
            </w:r>
          </w:p>
        </w:tc>
        <w:tc>
          <w:tcPr>
            <w:tcW w:w="114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999905</w:t>
            </w:r>
          </w:p>
        </w:tc>
        <w:tc>
          <w:tcPr>
            <w:tcW w:w="118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rPr>
          <w:rFonts w:ascii="Times New Roman" w:hAnsi="Times New Roman" w:cs="Times New Roman"/>
        </w:rPr>
      </w:pPr>
    </w:p>
    <w:tbl>
      <w:tblPr>
        <w:tblStyle w:val="7"/>
        <w:tblW w:w="8696" w:type="dxa"/>
        <w:tblInd w:w="108" w:type="dxa"/>
        <w:tblLayout w:type="fixed"/>
        <w:tblCellMar>
          <w:top w:w="0" w:type="dxa"/>
          <w:left w:w="108" w:type="dxa"/>
          <w:bottom w:w="0" w:type="dxa"/>
          <w:right w:w="108" w:type="dxa"/>
        </w:tblCellMar>
      </w:tblPr>
      <w:tblGrid>
        <w:gridCol w:w="8696"/>
      </w:tblGrid>
      <w:tr>
        <w:tblPrEx>
          <w:tblCellMar>
            <w:top w:w="0" w:type="dxa"/>
            <w:left w:w="108" w:type="dxa"/>
            <w:bottom w:w="0" w:type="dxa"/>
            <w:right w:w="108" w:type="dxa"/>
          </w:tblCellMar>
        </w:tblPrEx>
        <w:trPr>
          <w:trHeight w:val="270" w:hRule="atLeast"/>
        </w:trPr>
        <w:tc>
          <w:tcPr>
            <w:tcW w:w="8696"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sz w:val="22"/>
              </w:rPr>
            </w:pPr>
            <w:r>
              <w:rPr>
                <w:rFonts w:ascii="Times New Roman" w:hAnsi="Times New Roman" w:eastAsia="楷体_GB2312" w:cs="Times New Roman"/>
                <w:sz w:val="22"/>
              </w:rPr>
              <w:t>注：1.增值税增加主要是2022年增值税留抵退税预计将于2023年回补。</w:t>
            </w:r>
          </w:p>
        </w:tc>
      </w:tr>
      <w:tr>
        <w:tblPrEx>
          <w:tblCellMar>
            <w:top w:w="0" w:type="dxa"/>
            <w:left w:w="108" w:type="dxa"/>
            <w:bottom w:w="0" w:type="dxa"/>
            <w:right w:w="108" w:type="dxa"/>
          </w:tblCellMar>
        </w:tblPrEx>
        <w:trPr>
          <w:trHeight w:val="462" w:hRule="atLeast"/>
        </w:trPr>
        <w:tc>
          <w:tcPr>
            <w:tcW w:w="8696"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2.企业所得税增加主要是2023年存在股权转让所得代扣税款入库。</w:t>
            </w:r>
          </w:p>
        </w:tc>
      </w:tr>
      <w:tr>
        <w:tblPrEx>
          <w:tblCellMar>
            <w:top w:w="0" w:type="dxa"/>
            <w:left w:w="108" w:type="dxa"/>
            <w:bottom w:w="0" w:type="dxa"/>
            <w:right w:w="108" w:type="dxa"/>
          </w:tblCellMar>
        </w:tblPrEx>
        <w:trPr>
          <w:trHeight w:val="439" w:hRule="atLeast"/>
        </w:trPr>
        <w:tc>
          <w:tcPr>
            <w:tcW w:w="8696"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3.房产税、城镇土地使用税增加主要是因为房产优惠政策到期入库数可能增加。</w:t>
            </w:r>
          </w:p>
        </w:tc>
      </w:tr>
      <w:tr>
        <w:tblPrEx>
          <w:tblCellMar>
            <w:top w:w="0" w:type="dxa"/>
            <w:left w:w="108" w:type="dxa"/>
            <w:bottom w:w="0" w:type="dxa"/>
            <w:right w:w="108" w:type="dxa"/>
          </w:tblCellMar>
        </w:tblPrEx>
        <w:trPr>
          <w:trHeight w:val="642" w:hRule="atLeast"/>
        </w:trPr>
        <w:tc>
          <w:tcPr>
            <w:tcW w:w="8696"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4.土地增值税、契税减少主要是因房地产市场低迷，前期开发项目土地增值税结算退税等原因。</w:t>
            </w:r>
          </w:p>
        </w:tc>
      </w:tr>
      <w:tr>
        <w:tblPrEx>
          <w:tblCellMar>
            <w:top w:w="0" w:type="dxa"/>
            <w:left w:w="108" w:type="dxa"/>
            <w:bottom w:w="0" w:type="dxa"/>
            <w:right w:w="108" w:type="dxa"/>
          </w:tblCellMar>
        </w:tblPrEx>
        <w:trPr>
          <w:trHeight w:val="480" w:hRule="atLeast"/>
        </w:trPr>
        <w:tc>
          <w:tcPr>
            <w:tcW w:w="8696"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5.耕地占用税减少主要是耕地占用税入库数预计减少。</w:t>
            </w:r>
          </w:p>
        </w:tc>
      </w:tr>
      <w:tr>
        <w:tblPrEx>
          <w:tblCellMar>
            <w:top w:w="0" w:type="dxa"/>
            <w:left w:w="108" w:type="dxa"/>
            <w:bottom w:w="0" w:type="dxa"/>
            <w:right w:w="108" w:type="dxa"/>
          </w:tblCellMar>
        </w:tblPrEx>
        <w:trPr>
          <w:trHeight w:val="462" w:hRule="atLeast"/>
        </w:trPr>
        <w:tc>
          <w:tcPr>
            <w:tcW w:w="8696"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6.森林植被恢复费增加是因为351新建段、矿山开发等项目占用林地比较多。</w:t>
            </w:r>
          </w:p>
        </w:tc>
      </w:tr>
    </w:tbl>
    <w:p>
      <w:pPr>
        <w:widowControl/>
        <w:ind w:firstLine="440" w:firstLineChars="200"/>
        <w:jc w:val="left"/>
        <w:rPr>
          <w:rFonts w:ascii="Times New Roman" w:hAnsi="Times New Roman" w:eastAsia="楷体_GB2312" w:cs="Times New Roman"/>
          <w:sz w:val="22"/>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kern w:val="0"/>
          <w:sz w:val="44"/>
          <w:szCs w:val="44"/>
        </w:rPr>
      </w:pPr>
      <w:bookmarkStart w:id="10" w:name="RANGE!A1:F47"/>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ascii="Times New Roman" w:hAnsi="Times New Roman" w:eastAsia="方正小标宋简体" w:cs="Times New Roman"/>
          <w:color w:val="000000"/>
          <w:kern w:val="0"/>
          <w:sz w:val="44"/>
          <w:szCs w:val="44"/>
        </w:rPr>
        <w:t>2023年一般公共预算支出预算（类级）表</w:t>
      </w:r>
      <w:bookmarkEnd w:id="10"/>
    </w:p>
    <w:p>
      <w:pPr>
        <w:rPr>
          <w:rFonts w:ascii="Times New Roman" w:hAnsi="Times New Roman" w:eastAsia="楷体_GB2312" w:cs="Times New Roman"/>
          <w:color w:val="000000" w:themeColor="text1"/>
          <w:kern w:val="0"/>
          <w:sz w:val="24"/>
          <w:szCs w:val="2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表十四                                                        单位：万元</w:t>
      </w:r>
    </w:p>
    <w:tbl>
      <w:tblPr>
        <w:tblStyle w:val="7"/>
        <w:tblW w:w="91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45"/>
        <w:gridCol w:w="1506"/>
        <w:gridCol w:w="1506"/>
        <w:gridCol w:w="18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blHeader/>
          <w:jc w:val="center"/>
        </w:trPr>
        <w:tc>
          <w:tcPr>
            <w:tcW w:w="4345"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1506"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执行数</w:t>
            </w:r>
          </w:p>
        </w:tc>
        <w:tc>
          <w:tcPr>
            <w:tcW w:w="1506"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2023年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预算数</w:t>
            </w:r>
          </w:p>
        </w:tc>
        <w:tc>
          <w:tcPr>
            <w:tcW w:w="1828"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比上年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blHeader/>
          <w:jc w:val="center"/>
        </w:trPr>
        <w:tc>
          <w:tcPr>
            <w:tcW w:w="4345" w:type="dxa"/>
            <w:vMerge w:val="continue"/>
            <w:vAlign w:val="center"/>
          </w:tcPr>
          <w:p>
            <w:pPr>
              <w:widowControl/>
              <w:jc w:val="left"/>
              <w:rPr>
                <w:rFonts w:ascii="Times New Roman" w:hAnsi="Times New Roman" w:eastAsia="黑体" w:cs="Times New Roman"/>
                <w:color w:val="000000"/>
                <w:kern w:val="0"/>
                <w:sz w:val="24"/>
                <w:szCs w:val="24"/>
              </w:rPr>
            </w:pPr>
          </w:p>
        </w:tc>
        <w:tc>
          <w:tcPr>
            <w:tcW w:w="1506" w:type="dxa"/>
            <w:vMerge w:val="continue"/>
            <w:vAlign w:val="center"/>
          </w:tcPr>
          <w:p>
            <w:pPr>
              <w:widowControl/>
              <w:jc w:val="left"/>
              <w:rPr>
                <w:rFonts w:ascii="Times New Roman" w:hAnsi="Times New Roman" w:eastAsia="黑体" w:cs="Times New Roman"/>
                <w:color w:val="000000"/>
                <w:kern w:val="0"/>
                <w:sz w:val="24"/>
                <w:szCs w:val="24"/>
              </w:rPr>
            </w:pPr>
          </w:p>
        </w:tc>
        <w:tc>
          <w:tcPr>
            <w:tcW w:w="1506" w:type="dxa"/>
            <w:vMerge w:val="continue"/>
            <w:vAlign w:val="center"/>
          </w:tcPr>
          <w:p>
            <w:pPr>
              <w:widowControl/>
              <w:jc w:val="left"/>
              <w:rPr>
                <w:rFonts w:ascii="Times New Roman" w:hAnsi="Times New Roman" w:eastAsia="黑体" w:cs="Times New Roman"/>
                <w:color w:val="000000"/>
                <w:kern w:val="0"/>
                <w:sz w:val="24"/>
                <w:szCs w:val="24"/>
              </w:rPr>
            </w:pPr>
          </w:p>
        </w:tc>
        <w:tc>
          <w:tcPr>
            <w:tcW w:w="1828" w:type="dxa"/>
            <w:vMerge w:val="continue"/>
            <w:vAlign w:val="center"/>
          </w:tcPr>
          <w:p>
            <w:pPr>
              <w:widowControl/>
              <w:jc w:val="left"/>
              <w:rPr>
                <w:rFonts w:ascii="Times New Roman" w:hAnsi="Times New Roman" w:eastAsia="黑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802597</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847921</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（一）一般公共服务支出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68455</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67038 </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（二）国防支出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488</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516</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（三）公共安全支出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39711</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38303</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（四）教育支出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140119</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140835</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（五）科学技术支出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6317</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7265</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（六）文化旅游体育与传媒支出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12488</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14809</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（七）社会保障和就业支出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146388</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217884</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（八）卫生健康支出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100890</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94814</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（九）节能环保支出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4867</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3730</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（十）城乡社区支出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24359</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28168</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（十一）农林水支出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77476</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72577</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（十二）交通运输支出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76567</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28041</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（十三）资源勘探信息等支出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44706</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43441</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（十四）商业服务业等支出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6089</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5625</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（十五）金融支出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（十六）自然资源海洋气象等支出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6623</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15156</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（十七）住房保障支出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12262</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26080</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（十八）粮油物资储备支出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521</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698</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（十九）灾害防治及应急管理支出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4813</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3816</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（二十）预备费</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10000</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（二十一）其他支出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22836</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22475</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（二十二）债务付息支出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6561</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6600</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（二十三）债务发行费支出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二、转移性支出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198286</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151984</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（一）上解上级支出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96000</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96000</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（二）援助其他地区支出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820</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820</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（三）安排预算稳定调节基金</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16000</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（四）地方政府一般债务还本支出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35089</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20346</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（五）结转下年支出</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50377</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34818</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5" w:type="dxa"/>
            <w:shd w:val="clear" w:color="auto" w:fill="auto"/>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支出合计</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1000883</w:t>
            </w:r>
          </w:p>
        </w:tc>
        <w:tc>
          <w:tcPr>
            <w:tcW w:w="150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999905</w:t>
            </w:r>
          </w:p>
        </w:tc>
        <w:tc>
          <w:tcPr>
            <w:tcW w:w="182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rPr>
          <w:rFonts w:ascii="Times New Roman" w:hAnsi="Times New Roman" w:cs="Times New Roman"/>
        </w:rPr>
      </w:pPr>
    </w:p>
    <w:tbl>
      <w:tblPr>
        <w:tblStyle w:val="7"/>
        <w:tblW w:w="9105" w:type="dxa"/>
        <w:jc w:val="center"/>
        <w:tblLayout w:type="fixed"/>
        <w:tblCellMar>
          <w:top w:w="0" w:type="dxa"/>
          <w:left w:w="108" w:type="dxa"/>
          <w:bottom w:w="0" w:type="dxa"/>
          <w:right w:w="108" w:type="dxa"/>
        </w:tblCellMar>
      </w:tblPr>
      <w:tblGrid>
        <w:gridCol w:w="9105"/>
      </w:tblGrid>
      <w:tr>
        <w:tblPrEx>
          <w:tblCellMar>
            <w:top w:w="0" w:type="dxa"/>
            <w:left w:w="108" w:type="dxa"/>
            <w:bottom w:w="0" w:type="dxa"/>
            <w:right w:w="108" w:type="dxa"/>
          </w:tblCellMar>
        </w:tblPrEx>
        <w:trPr>
          <w:trHeight w:val="328" w:hRule="atLeast"/>
          <w:jc w:val="center"/>
        </w:trPr>
        <w:tc>
          <w:tcPr>
            <w:tcW w:w="9105" w:type="dxa"/>
            <w:tcBorders>
              <w:top w:val="nil"/>
              <w:left w:val="nil"/>
              <w:bottom w:val="nil"/>
              <w:right w:val="nil"/>
            </w:tcBorders>
            <w:shd w:val="clear" w:color="auto" w:fill="auto"/>
            <w:vAlign w:val="center"/>
          </w:tcPr>
          <w:p>
            <w:pPr>
              <w:widowControl/>
              <w:jc w:val="left"/>
              <w:rPr>
                <w:rFonts w:ascii="Times New Roman" w:hAnsi="Times New Roman" w:eastAsia="楷体_GB2312" w:cs="Times New Roman"/>
                <w:sz w:val="22"/>
              </w:rPr>
            </w:pPr>
            <w:r>
              <w:rPr>
                <w:rFonts w:ascii="Times New Roman" w:hAnsi="Times New Roman" w:eastAsia="楷体_GB2312" w:cs="Times New Roman"/>
                <w:sz w:val="22"/>
              </w:rPr>
              <w:t>注：1.科学技术支出增加主要是科技创新类补助增加。</w:t>
            </w:r>
          </w:p>
        </w:tc>
      </w:tr>
      <w:tr>
        <w:tblPrEx>
          <w:tblCellMar>
            <w:top w:w="0" w:type="dxa"/>
            <w:left w:w="108" w:type="dxa"/>
            <w:bottom w:w="0" w:type="dxa"/>
            <w:right w:w="108" w:type="dxa"/>
          </w:tblCellMar>
        </w:tblPrEx>
        <w:trPr>
          <w:trHeight w:val="328" w:hRule="atLeast"/>
          <w:jc w:val="center"/>
        </w:trPr>
        <w:tc>
          <w:tcPr>
            <w:tcW w:w="910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2.文化旅游体育与传媒支出增加主要是全市宣传经费统筹安排。</w:t>
            </w:r>
          </w:p>
        </w:tc>
      </w:tr>
      <w:tr>
        <w:tblPrEx>
          <w:tblCellMar>
            <w:top w:w="0" w:type="dxa"/>
            <w:left w:w="108" w:type="dxa"/>
            <w:bottom w:w="0" w:type="dxa"/>
            <w:right w:w="108" w:type="dxa"/>
          </w:tblCellMar>
        </w:tblPrEx>
        <w:trPr>
          <w:trHeight w:val="328" w:hRule="atLeast"/>
          <w:jc w:val="center"/>
        </w:trPr>
        <w:tc>
          <w:tcPr>
            <w:tcW w:w="9105"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3.社会保障和就业支出增加主要是全市行政事业单位基本养老保险和职业年金科目调整。</w:t>
            </w:r>
          </w:p>
        </w:tc>
      </w:tr>
      <w:tr>
        <w:tblPrEx>
          <w:tblCellMar>
            <w:top w:w="0" w:type="dxa"/>
            <w:left w:w="108" w:type="dxa"/>
            <w:bottom w:w="0" w:type="dxa"/>
            <w:right w:w="108" w:type="dxa"/>
          </w:tblCellMar>
        </w:tblPrEx>
        <w:trPr>
          <w:trHeight w:val="328" w:hRule="atLeast"/>
          <w:jc w:val="center"/>
        </w:trPr>
        <w:tc>
          <w:tcPr>
            <w:tcW w:w="910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4.节能环保支出减少主要是上级转移支付资金减少。</w:t>
            </w:r>
          </w:p>
        </w:tc>
      </w:tr>
      <w:tr>
        <w:tblPrEx>
          <w:tblCellMar>
            <w:top w:w="0" w:type="dxa"/>
            <w:left w:w="108" w:type="dxa"/>
            <w:bottom w:w="0" w:type="dxa"/>
            <w:right w:w="108" w:type="dxa"/>
          </w:tblCellMar>
        </w:tblPrEx>
        <w:trPr>
          <w:trHeight w:val="328" w:hRule="atLeast"/>
          <w:jc w:val="center"/>
        </w:trPr>
        <w:tc>
          <w:tcPr>
            <w:tcW w:w="910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5.城乡社区支出增加主要是上级转移支付资金增加。</w:t>
            </w:r>
          </w:p>
        </w:tc>
      </w:tr>
      <w:tr>
        <w:tblPrEx>
          <w:tblCellMar>
            <w:top w:w="0" w:type="dxa"/>
            <w:left w:w="108" w:type="dxa"/>
            <w:bottom w:w="0" w:type="dxa"/>
            <w:right w:w="108" w:type="dxa"/>
          </w:tblCellMar>
        </w:tblPrEx>
        <w:trPr>
          <w:trHeight w:val="328" w:hRule="atLeast"/>
          <w:jc w:val="center"/>
        </w:trPr>
        <w:tc>
          <w:tcPr>
            <w:tcW w:w="910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6.交通运输支出减少主要是上级转移支付资金减少。</w:t>
            </w:r>
          </w:p>
        </w:tc>
      </w:tr>
      <w:tr>
        <w:tblPrEx>
          <w:tblCellMar>
            <w:top w:w="0" w:type="dxa"/>
            <w:left w:w="108" w:type="dxa"/>
            <w:bottom w:w="0" w:type="dxa"/>
            <w:right w:w="108" w:type="dxa"/>
          </w:tblCellMar>
        </w:tblPrEx>
        <w:trPr>
          <w:trHeight w:val="328" w:hRule="atLeast"/>
          <w:jc w:val="center"/>
        </w:trPr>
        <w:tc>
          <w:tcPr>
            <w:tcW w:w="910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7.金融支出减少主要是上级转移支付资金减少。</w:t>
            </w:r>
          </w:p>
        </w:tc>
      </w:tr>
      <w:tr>
        <w:tblPrEx>
          <w:tblCellMar>
            <w:top w:w="0" w:type="dxa"/>
            <w:left w:w="108" w:type="dxa"/>
            <w:bottom w:w="0" w:type="dxa"/>
            <w:right w:w="108" w:type="dxa"/>
          </w:tblCellMar>
        </w:tblPrEx>
        <w:trPr>
          <w:trHeight w:val="328" w:hRule="atLeast"/>
          <w:jc w:val="center"/>
        </w:trPr>
        <w:tc>
          <w:tcPr>
            <w:tcW w:w="910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8.自然资源海洋气象等支出增加主要是上级转移支付资金增加。</w:t>
            </w:r>
          </w:p>
        </w:tc>
      </w:tr>
      <w:tr>
        <w:tblPrEx>
          <w:tblCellMar>
            <w:top w:w="0" w:type="dxa"/>
            <w:left w:w="108" w:type="dxa"/>
            <w:bottom w:w="0" w:type="dxa"/>
            <w:right w:w="108" w:type="dxa"/>
          </w:tblCellMar>
        </w:tblPrEx>
        <w:trPr>
          <w:trHeight w:val="328" w:hRule="atLeast"/>
          <w:jc w:val="center"/>
        </w:trPr>
        <w:tc>
          <w:tcPr>
            <w:tcW w:w="910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9.住房保障支出增加主要是全市行政事业单位住房公积金科目调整。</w:t>
            </w:r>
          </w:p>
        </w:tc>
      </w:tr>
      <w:tr>
        <w:tblPrEx>
          <w:tblCellMar>
            <w:top w:w="0" w:type="dxa"/>
            <w:left w:w="108" w:type="dxa"/>
            <w:bottom w:w="0" w:type="dxa"/>
            <w:right w:w="108" w:type="dxa"/>
          </w:tblCellMar>
        </w:tblPrEx>
        <w:trPr>
          <w:trHeight w:val="328" w:hRule="atLeast"/>
          <w:jc w:val="center"/>
        </w:trPr>
        <w:tc>
          <w:tcPr>
            <w:tcW w:w="910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10.粮油物资储备支出增加主要是应急物资储备支出安排增加。</w:t>
            </w:r>
          </w:p>
        </w:tc>
      </w:tr>
      <w:tr>
        <w:tblPrEx>
          <w:tblCellMar>
            <w:top w:w="0" w:type="dxa"/>
            <w:left w:w="108" w:type="dxa"/>
            <w:bottom w:w="0" w:type="dxa"/>
            <w:right w:w="108" w:type="dxa"/>
          </w:tblCellMar>
        </w:tblPrEx>
        <w:trPr>
          <w:trHeight w:val="328" w:hRule="atLeast"/>
          <w:jc w:val="center"/>
        </w:trPr>
        <w:tc>
          <w:tcPr>
            <w:tcW w:w="910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11.灾害防治及应急管理支出减少主要是基本支出功能科目调整。</w:t>
            </w:r>
          </w:p>
        </w:tc>
      </w:tr>
      <w:tr>
        <w:tblPrEx>
          <w:tblCellMar>
            <w:top w:w="0" w:type="dxa"/>
            <w:left w:w="108" w:type="dxa"/>
            <w:bottom w:w="0" w:type="dxa"/>
            <w:right w:w="108" w:type="dxa"/>
          </w:tblCellMar>
        </w:tblPrEx>
        <w:trPr>
          <w:trHeight w:val="328" w:hRule="atLeast"/>
          <w:jc w:val="center"/>
        </w:trPr>
        <w:tc>
          <w:tcPr>
            <w:tcW w:w="910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12.债务发行费用支出增加主要是2023年预计债券发行增加。</w:t>
            </w:r>
          </w:p>
        </w:tc>
      </w:tr>
    </w:tbl>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ascii="Times New Roman" w:hAnsi="Times New Roman" w:eastAsia="方正小标宋简体" w:cs="Times New Roman"/>
          <w:color w:val="000000"/>
          <w:kern w:val="0"/>
          <w:sz w:val="44"/>
          <w:szCs w:val="44"/>
        </w:rPr>
        <w:t>2023年一般公共预算支出预算表</w:t>
      </w:r>
    </w:p>
    <w:p>
      <w:pPr>
        <w:rPr>
          <w:rFonts w:ascii="Times New Roman" w:hAnsi="Times New Roman" w:eastAsia="楷体_GB2312" w:cs="Times New Roman"/>
          <w:color w:val="000000" w:themeColor="text1"/>
          <w:kern w:val="0"/>
          <w:sz w:val="24"/>
          <w:szCs w:val="2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表十五                                                        单位：万元</w:t>
      </w:r>
    </w:p>
    <w:tbl>
      <w:tblPr>
        <w:tblStyle w:val="7"/>
        <w:tblW w:w="91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49"/>
        <w:gridCol w:w="1612"/>
        <w:gridCol w:w="1612"/>
        <w:gridCol w:w="16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blHeader/>
          <w:jc w:val="center"/>
        </w:trPr>
        <w:tc>
          <w:tcPr>
            <w:tcW w:w="4349" w:type="dxa"/>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支  出  科  目</w:t>
            </w:r>
          </w:p>
        </w:tc>
        <w:tc>
          <w:tcPr>
            <w:tcW w:w="1612" w:type="dxa"/>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执行数</w:t>
            </w:r>
          </w:p>
        </w:tc>
        <w:tc>
          <w:tcPr>
            <w:tcW w:w="1612" w:type="dxa"/>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2023年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预算数</w:t>
            </w:r>
          </w:p>
        </w:tc>
        <w:tc>
          <w:tcPr>
            <w:tcW w:w="1612" w:type="dxa"/>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比上年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合计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802597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847921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一、一般公共服务支出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68455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67038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人大事务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1592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人大会议</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117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人大代表履职能力提升</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代表工作</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其他人大事务支出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政协事务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1690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1056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政协会议</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委员视察</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参政议政</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其他政协事务支出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162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政府办公厅（室）及相关机构事务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26155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23304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18424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15925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机关服务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5124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5702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政务公开审批</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112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信访事务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val="en-US" w:eastAsia="zh-CN"/>
              </w:rPr>
              <w:t>899</w:t>
            </w:r>
            <w:r>
              <w:rPr>
                <w:rFonts w:ascii="Times New Roman" w:hAnsi="Times New Roman" w:eastAsia="宋体" w:cs="Times New Roman"/>
                <w:color w:val="000000"/>
                <w:kern w:val="0"/>
                <w:sz w:val="24"/>
                <w:szCs w:val="24"/>
              </w:rPr>
              <w:t xml:space="preserve">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lang w:val="en-US" w:eastAsia="zh-CN"/>
              </w:rPr>
              <w:t>8</w:t>
            </w:r>
            <w:r>
              <w:rPr>
                <w:rFonts w:ascii="Times New Roman" w:hAnsi="Times New Roman" w:eastAsia="宋体" w:cs="Times New Roman"/>
                <w:color w:val="000000"/>
                <w:kern w:val="0"/>
                <w:sz w:val="24"/>
                <w:szCs w:val="24"/>
              </w:rPr>
              <w:t xml:space="preserve">.5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其他政府办公厅（室）及相关机构事务支出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1077</w:t>
            </w:r>
          </w:p>
        </w:tc>
        <w:tc>
          <w:tcPr>
            <w:tcW w:w="1612" w:type="dxa"/>
            <w:shd w:val="clear" w:color="auto" w:fill="auto"/>
            <w:noWrap/>
            <w:vAlign w:val="center"/>
          </w:tcPr>
          <w:p>
            <w:pPr>
              <w:widowControl/>
              <w:jc w:val="center"/>
              <w:rPr>
                <w:rFonts w:hint="default" w:ascii="Times New Roman" w:hAnsi="Times New Roman" w:eastAsia="宋体" w:cs="Times New Roman"/>
                <w:color w:val="000000"/>
                <w:kern w:val="0"/>
                <w:sz w:val="24"/>
                <w:szCs w:val="24"/>
                <w:lang w:val="en-US" w:eastAsia="zh-CN"/>
              </w:rPr>
            </w:pPr>
            <w:r>
              <w:rPr>
                <w:rFonts w:hint="eastAsia" w:ascii="Times New Roman" w:hAnsi="Times New Roman" w:eastAsia="宋体" w:cs="Times New Roman"/>
                <w:color w:val="000000"/>
                <w:kern w:val="0"/>
                <w:sz w:val="24"/>
                <w:szCs w:val="24"/>
                <w:lang w:val="en-US" w:eastAsia="zh-CN"/>
              </w:rPr>
              <w:t>600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r>
              <w:rPr>
                <w:rFonts w:hint="eastAsia" w:ascii="Times New Roman" w:hAnsi="Times New Roman" w:eastAsia="宋体" w:cs="Times New Roman"/>
                <w:color w:val="000000"/>
                <w:kern w:val="0"/>
                <w:sz w:val="24"/>
                <w:szCs w:val="24"/>
                <w:lang w:val="en-US" w:eastAsia="zh-CN"/>
              </w:rPr>
              <w:t>4</w:t>
            </w:r>
            <w:r>
              <w:rPr>
                <w:rFonts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lang w:val="en-US" w:eastAsia="zh-CN"/>
              </w:rPr>
              <w:t>3</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发展与改革事务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2354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1992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物价管理</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其他发展与改革事务支出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统计信息事务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1273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专项统计业务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专项普查活动</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统计抽样调查</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3722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3347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2622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2097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信息化建设</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其他财政事务支出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税收事务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4585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3747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4466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r>
              <w:rPr>
                <w:rFonts w:hint="eastAsia" w:ascii="Times New Roman" w:hAnsi="Times New Roman" w:eastAsia="宋体" w:cs="Times New Roman"/>
                <w:color w:val="000000"/>
                <w:kern w:val="0"/>
                <w:sz w:val="24"/>
                <w:szCs w:val="24"/>
                <w:lang w:val="en-US" w:eastAsia="zh-CN"/>
              </w:rPr>
              <w:t>56</w:t>
            </w:r>
            <w:r>
              <w:rPr>
                <w:rFonts w:ascii="Times New Roman" w:hAnsi="Times New Roman" w:eastAsia="宋体" w:cs="Times New Roman"/>
                <w:color w:val="000000"/>
                <w:kern w:val="0"/>
                <w:sz w:val="24"/>
                <w:szCs w:val="24"/>
              </w:rPr>
              <w:t>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lang w:val="en-US" w:eastAsia="zh-CN"/>
              </w:rPr>
              <w:t>20</w:t>
            </w:r>
            <w:r>
              <w:rPr>
                <w:rFonts w:ascii="Times New Roman" w:hAnsi="Times New Roman" w:eastAsia="宋体" w:cs="Times New Roman"/>
                <w:color w:val="000000"/>
                <w:kern w:val="0"/>
                <w:sz w:val="24"/>
                <w:szCs w:val="24"/>
              </w:rPr>
              <w:t xml:space="preserve">.1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税收业务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其他税收事务支出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val="en-US" w:eastAsia="zh-CN"/>
              </w:rPr>
              <w:t>180</w:t>
            </w: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val="en-US" w:eastAsia="zh-CN"/>
              </w:rPr>
              <w:t>51.3</w:t>
            </w: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审计事务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审计业务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审计管理</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其他审计事务支出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纪检监察事务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3432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2779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2443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大案要案查处</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派驻派出机构</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其他纪检监察事务支出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商贸事务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1993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1742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招商引资</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其他商贸事务支出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民族事务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其他民族事务支出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港澳台事务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港澳事务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其他港澳台事务支出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档案事务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3744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档案馆</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其他档案事务支出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2881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民主党派及工商联事务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其他民主党派及工商联事务支出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1375.0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群众团体事务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其他群众团体事务支出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党委办公厅（室）及相关机构事务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1741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1023</w:t>
            </w:r>
          </w:p>
        </w:tc>
        <w:tc>
          <w:tcPr>
            <w:tcW w:w="1612" w:type="dxa"/>
            <w:shd w:val="clear" w:color="auto" w:fill="auto"/>
            <w:noWrap/>
            <w:vAlign w:val="center"/>
          </w:tcPr>
          <w:p>
            <w:pPr>
              <w:widowControl/>
              <w:jc w:val="center"/>
              <w:rPr>
                <w:rFonts w:hint="default" w:ascii="Times New Roman" w:hAnsi="Times New Roman" w:eastAsia="宋体" w:cs="Times New Roman"/>
                <w:color w:val="000000"/>
                <w:kern w:val="0"/>
                <w:sz w:val="24"/>
                <w:szCs w:val="24"/>
                <w:lang w:val="en-US" w:eastAsia="zh-CN"/>
              </w:rPr>
            </w:pPr>
            <w:r>
              <w:rPr>
                <w:rFonts w:hint="eastAsia" w:ascii="Times New Roman" w:hAnsi="Times New Roman" w:eastAsia="宋体" w:cs="Times New Roman"/>
                <w:color w:val="000000"/>
                <w:kern w:val="0"/>
                <w:sz w:val="24"/>
                <w:szCs w:val="24"/>
                <w:lang w:val="en-US" w:eastAsia="zh-CN"/>
              </w:rPr>
              <w:t>677</w:t>
            </w:r>
          </w:p>
        </w:tc>
        <w:tc>
          <w:tcPr>
            <w:tcW w:w="1612" w:type="dxa"/>
            <w:shd w:val="clear" w:color="auto" w:fill="auto"/>
            <w:noWrap/>
            <w:vAlign w:val="center"/>
          </w:tcPr>
          <w:p>
            <w:pPr>
              <w:widowControl/>
              <w:jc w:val="center"/>
              <w:rPr>
                <w:rFonts w:hint="eastAsia" w:ascii="Times New Roman" w:hAnsi="Times New Roman" w:eastAsia="宋体" w:cs="Times New Roman"/>
                <w:color w:val="000000"/>
                <w:kern w:val="0"/>
                <w:sz w:val="24"/>
                <w:szCs w:val="24"/>
                <w:lang w:val="en-US" w:eastAsia="zh-CN"/>
              </w:rPr>
            </w:pPr>
            <w:r>
              <w:rPr>
                <w:rFonts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lang w:val="en-US" w:eastAsia="zh-CN"/>
              </w:rPr>
              <w:t>33</w:t>
            </w:r>
            <w:r>
              <w:rPr>
                <w:rFonts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专项业务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其他党委办公厅（室）及相关机构事务支出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542</w:t>
            </w:r>
          </w:p>
        </w:tc>
        <w:tc>
          <w:tcPr>
            <w:tcW w:w="1612" w:type="dxa"/>
            <w:shd w:val="clear" w:color="auto" w:fill="auto"/>
            <w:noWrap/>
            <w:vAlign w:val="center"/>
          </w:tcPr>
          <w:p>
            <w:pPr>
              <w:widowControl/>
              <w:jc w:val="center"/>
              <w:rPr>
                <w:rFonts w:hint="default" w:ascii="Times New Roman" w:hAnsi="Times New Roman" w:eastAsia="宋体" w:cs="Times New Roman"/>
                <w:color w:val="000000"/>
                <w:kern w:val="0"/>
                <w:sz w:val="24"/>
                <w:szCs w:val="24"/>
                <w:lang w:val="en-US" w:eastAsia="zh-CN"/>
              </w:rPr>
            </w:pPr>
            <w:r>
              <w:rPr>
                <w:rFonts w:hint="eastAsia" w:ascii="Times New Roman" w:hAnsi="Times New Roman" w:eastAsia="宋体" w:cs="Times New Roman"/>
                <w:color w:val="000000"/>
                <w:kern w:val="0"/>
                <w:sz w:val="24"/>
                <w:szCs w:val="24"/>
                <w:lang w:val="en-US" w:eastAsia="zh-CN"/>
              </w:rPr>
              <w:t>341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lang w:val="en-US" w:eastAsia="zh-CN"/>
              </w:rPr>
              <w:t>37</w:t>
            </w:r>
            <w:r>
              <w:rPr>
                <w:rFonts w:ascii="Times New Roman" w:hAnsi="Times New Roman" w:eastAsia="宋体" w:cs="Times New Roman"/>
                <w:color w:val="000000"/>
                <w:kern w:val="0"/>
                <w:sz w:val="24"/>
                <w:szCs w:val="24"/>
              </w:rPr>
              <w:t xml:space="preserve">.2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组织事务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2575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1260</w:t>
            </w:r>
          </w:p>
        </w:tc>
        <w:tc>
          <w:tcPr>
            <w:tcW w:w="1612" w:type="dxa"/>
            <w:shd w:val="clear" w:color="auto" w:fill="auto"/>
            <w:noWrap/>
            <w:vAlign w:val="center"/>
          </w:tcPr>
          <w:p>
            <w:pPr>
              <w:widowControl/>
              <w:jc w:val="center"/>
              <w:rPr>
                <w:rFonts w:hint="default" w:ascii="Times New Roman" w:hAnsi="Times New Roman" w:eastAsia="宋体" w:cs="Times New Roman"/>
                <w:color w:val="000000"/>
                <w:kern w:val="0"/>
                <w:sz w:val="24"/>
                <w:szCs w:val="24"/>
                <w:lang w:val="en-US" w:eastAsia="zh-CN"/>
              </w:rPr>
            </w:pPr>
            <w:r>
              <w:rPr>
                <w:rFonts w:ascii="Times New Roman" w:hAnsi="Times New Roman" w:eastAsia="宋体" w:cs="Times New Roman"/>
                <w:color w:val="000000"/>
                <w:kern w:val="0"/>
                <w:sz w:val="24"/>
                <w:szCs w:val="24"/>
              </w:rPr>
              <w:t>1</w:t>
            </w:r>
            <w:r>
              <w:rPr>
                <w:rFonts w:hint="eastAsia" w:ascii="Times New Roman" w:hAnsi="Times New Roman" w:eastAsia="宋体" w:cs="Times New Roman"/>
                <w:color w:val="000000"/>
                <w:kern w:val="0"/>
                <w:sz w:val="24"/>
                <w:szCs w:val="24"/>
                <w:lang w:val="en-US" w:eastAsia="zh-CN"/>
              </w:rPr>
              <w:t>068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r>
              <w:rPr>
                <w:rFonts w:hint="eastAsia" w:ascii="Times New Roman" w:hAnsi="Times New Roman" w:eastAsia="宋体" w:cs="Times New Roman"/>
                <w:color w:val="000000"/>
                <w:kern w:val="0"/>
                <w:sz w:val="24"/>
                <w:szCs w:val="24"/>
                <w:lang w:val="en-US" w:eastAsia="zh-CN"/>
              </w:rPr>
              <w:t>5.3</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公务员事务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其他组织事务支出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1288</w:t>
            </w:r>
          </w:p>
        </w:tc>
        <w:tc>
          <w:tcPr>
            <w:tcW w:w="1612" w:type="dxa"/>
            <w:shd w:val="clear" w:color="auto" w:fill="auto"/>
            <w:noWrap/>
            <w:vAlign w:val="center"/>
          </w:tcPr>
          <w:p>
            <w:pPr>
              <w:widowControl/>
              <w:jc w:val="center"/>
              <w:rPr>
                <w:rFonts w:hint="default" w:ascii="Times New Roman" w:hAnsi="Times New Roman" w:eastAsia="宋体" w:cs="Times New Roman"/>
                <w:color w:val="000000"/>
                <w:kern w:val="0"/>
                <w:sz w:val="24"/>
                <w:szCs w:val="24"/>
                <w:lang w:val="en-US" w:eastAsia="zh-CN"/>
              </w:rPr>
            </w:pPr>
            <w:r>
              <w:rPr>
                <w:rFonts w:hint="eastAsia" w:ascii="Times New Roman" w:hAnsi="Times New Roman" w:eastAsia="宋体" w:cs="Times New Roman"/>
                <w:color w:val="000000"/>
                <w:kern w:val="0"/>
                <w:sz w:val="24"/>
                <w:szCs w:val="24"/>
                <w:lang w:val="en-US" w:eastAsia="zh-CN"/>
              </w:rPr>
              <w:t>627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r>
              <w:rPr>
                <w:rFonts w:hint="eastAsia" w:ascii="Times New Roman" w:hAnsi="Times New Roman" w:eastAsia="宋体" w:cs="Times New Roman"/>
                <w:color w:val="000000"/>
                <w:kern w:val="0"/>
                <w:sz w:val="24"/>
                <w:szCs w:val="24"/>
                <w:lang w:val="en-US" w:eastAsia="zh-CN"/>
              </w:rPr>
              <w:t>1.3</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宣传事务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其他宣传事务支出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统战事务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宗教事务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1266.7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其他统战事务支出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w:t>
            </w:r>
          </w:p>
        </w:tc>
        <w:tc>
          <w:tcPr>
            <w:tcW w:w="1612" w:type="dxa"/>
            <w:shd w:val="clear" w:color="auto" w:fill="auto"/>
            <w:noWrap/>
            <w:vAlign w:val="center"/>
          </w:tcPr>
          <w:p>
            <w:pPr>
              <w:widowControl/>
              <w:jc w:val="center"/>
              <w:rPr>
                <w:rFonts w:hint="default" w:ascii="Times New Roman" w:hAnsi="Times New Roman" w:eastAsia="宋体" w:cs="Times New Roman"/>
                <w:color w:val="000000"/>
                <w:kern w:val="0"/>
                <w:sz w:val="24"/>
                <w:szCs w:val="24"/>
                <w:lang w:val="en-US" w:eastAsia="zh-CN"/>
              </w:rPr>
            </w:pPr>
            <w:r>
              <w:rPr>
                <w:rFonts w:hint="eastAsia" w:ascii="Times New Roman" w:hAnsi="Times New Roman" w:eastAsia="宋体" w:cs="Times New Roman"/>
                <w:color w:val="000000"/>
                <w:kern w:val="0"/>
                <w:sz w:val="24"/>
                <w:szCs w:val="24"/>
                <w:lang w:val="en-US" w:eastAsia="zh-CN"/>
              </w:rPr>
              <w:t>35</w:t>
            </w:r>
          </w:p>
        </w:tc>
        <w:tc>
          <w:tcPr>
            <w:tcW w:w="1612" w:type="dxa"/>
            <w:shd w:val="clear" w:color="auto" w:fill="auto"/>
            <w:noWrap/>
            <w:vAlign w:val="center"/>
          </w:tcPr>
          <w:p>
            <w:pPr>
              <w:widowControl/>
              <w:jc w:val="center"/>
              <w:rPr>
                <w:rFonts w:hint="eastAsia" w:ascii="Times New Roman" w:hAnsi="Times New Roman" w:eastAsia="宋体" w:cs="Times New Roman"/>
                <w:color w:val="000000"/>
                <w:kern w:val="0"/>
                <w:sz w:val="24"/>
                <w:szCs w:val="24"/>
                <w:lang w:val="en-US" w:eastAsia="zh-CN"/>
              </w:rPr>
            </w:pPr>
            <w:r>
              <w:rPr>
                <w:rFonts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lang w:val="en-US" w:eastAsia="zh-CN"/>
              </w:rPr>
              <w:t>18</w:t>
            </w:r>
            <w:r>
              <w:rPr>
                <w:rFonts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其他共产党事务支出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3948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2974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1733</w:t>
            </w:r>
          </w:p>
        </w:tc>
        <w:tc>
          <w:tcPr>
            <w:tcW w:w="1612" w:type="dxa"/>
            <w:shd w:val="clear" w:color="auto" w:fill="auto"/>
            <w:noWrap/>
            <w:vAlign w:val="center"/>
          </w:tcPr>
          <w:p>
            <w:pPr>
              <w:widowControl/>
              <w:jc w:val="center"/>
              <w:rPr>
                <w:rFonts w:hint="default" w:ascii="Times New Roman" w:hAnsi="Times New Roman" w:eastAsia="宋体" w:cs="Times New Roman"/>
                <w:color w:val="000000"/>
                <w:kern w:val="0"/>
                <w:sz w:val="24"/>
                <w:szCs w:val="24"/>
                <w:lang w:val="en-US" w:eastAsia="zh-CN"/>
              </w:rPr>
            </w:pPr>
            <w:r>
              <w:rPr>
                <w:rFonts w:ascii="Times New Roman" w:hAnsi="Times New Roman" w:eastAsia="宋体" w:cs="Times New Roman"/>
                <w:color w:val="000000"/>
                <w:kern w:val="0"/>
                <w:sz w:val="24"/>
                <w:szCs w:val="24"/>
              </w:rPr>
              <w:t>10</w:t>
            </w:r>
            <w:r>
              <w:rPr>
                <w:rFonts w:hint="eastAsia" w:ascii="Times New Roman" w:hAnsi="Times New Roman" w:eastAsia="宋体" w:cs="Times New Roman"/>
                <w:color w:val="000000"/>
                <w:kern w:val="0"/>
                <w:sz w:val="24"/>
                <w:szCs w:val="24"/>
                <w:lang w:val="en-US" w:eastAsia="zh-CN"/>
              </w:rPr>
              <w:t>18</w:t>
            </w:r>
          </w:p>
        </w:tc>
        <w:tc>
          <w:tcPr>
            <w:tcW w:w="1612" w:type="dxa"/>
            <w:shd w:val="clear" w:color="auto" w:fill="auto"/>
            <w:noWrap/>
            <w:vAlign w:val="center"/>
          </w:tcPr>
          <w:p>
            <w:pPr>
              <w:widowControl/>
              <w:jc w:val="center"/>
              <w:rPr>
                <w:rFonts w:hint="eastAsia" w:ascii="Times New Roman" w:hAnsi="Times New Roman" w:eastAsia="宋体" w:cs="Times New Roman"/>
                <w:color w:val="000000"/>
                <w:kern w:val="0"/>
                <w:sz w:val="24"/>
                <w:szCs w:val="24"/>
                <w:lang w:eastAsia="zh-CN"/>
              </w:rPr>
            </w:pPr>
            <w:r>
              <w:rPr>
                <w:rFonts w:ascii="Times New Roman" w:hAnsi="Times New Roman" w:eastAsia="宋体" w:cs="Times New Roman"/>
                <w:color w:val="000000"/>
                <w:kern w:val="0"/>
                <w:sz w:val="24"/>
                <w:szCs w:val="24"/>
              </w:rPr>
              <w:t>-4</w:t>
            </w:r>
            <w:r>
              <w:rPr>
                <w:rFonts w:hint="eastAsia" w:ascii="Times New Roman" w:hAnsi="Times New Roman" w:eastAsia="宋体" w:cs="Times New Roman"/>
                <w:color w:val="000000"/>
                <w:kern w:val="0"/>
                <w:sz w:val="24"/>
                <w:szCs w:val="24"/>
                <w:lang w:val="en-US" w:eastAsia="zh-CN"/>
              </w:rPr>
              <w:t>1</w:t>
            </w:r>
            <w:r>
              <w:rPr>
                <w:rFonts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其他共产党事务支出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1532</w:t>
            </w:r>
          </w:p>
        </w:tc>
        <w:tc>
          <w:tcPr>
            <w:tcW w:w="1612" w:type="dxa"/>
            <w:shd w:val="clear" w:color="auto" w:fill="auto"/>
            <w:noWrap/>
            <w:vAlign w:val="center"/>
          </w:tcPr>
          <w:p>
            <w:pPr>
              <w:widowControl/>
              <w:jc w:val="center"/>
              <w:rPr>
                <w:rFonts w:hint="default" w:ascii="Times New Roman" w:hAnsi="Times New Roman" w:eastAsia="宋体" w:cs="Times New Roman"/>
                <w:color w:val="000000"/>
                <w:kern w:val="0"/>
                <w:sz w:val="24"/>
                <w:szCs w:val="24"/>
                <w:lang w:val="en-US" w:eastAsia="zh-CN"/>
              </w:rPr>
            </w:pPr>
            <w:r>
              <w:rPr>
                <w:rFonts w:ascii="Times New Roman" w:hAnsi="Times New Roman" w:eastAsia="宋体" w:cs="Times New Roman"/>
                <w:color w:val="000000"/>
                <w:kern w:val="0"/>
                <w:sz w:val="24"/>
                <w:szCs w:val="24"/>
              </w:rPr>
              <w:t>16</w:t>
            </w:r>
            <w:r>
              <w:rPr>
                <w:rFonts w:hint="eastAsia" w:ascii="Times New Roman" w:hAnsi="Times New Roman" w:eastAsia="宋体" w:cs="Times New Roman"/>
                <w:color w:val="000000"/>
                <w:kern w:val="0"/>
                <w:sz w:val="24"/>
                <w:szCs w:val="24"/>
                <w:lang w:val="en-US" w:eastAsia="zh-CN"/>
              </w:rPr>
              <w:t>82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val="en-US" w:eastAsia="zh-CN"/>
              </w:rPr>
              <w:t>9</w:t>
            </w:r>
            <w:r>
              <w:rPr>
                <w:rFonts w:ascii="Times New Roman" w:hAnsi="Times New Roman" w:eastAsia="宋体" w:cs="Times New Roman"/>
                <w:color w:val="000000"/>
                <w:kern w:val="0"/>
                <w:sz w:val="24"/>
                <w:szCs w:val="24"/>
              </w:rPr>
              <w:t xml:space="preserve">.8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市场监督管理事务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8110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5983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4816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3892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质量基础</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其他市场监督管理事务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2531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其他一般公共服务支出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6480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323900.0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其他一般公共服务支出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6480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323900.0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二、国防支出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国防动员</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兵役征集</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人民防空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国防教育</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预备役部队</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民兵</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其他国防动员支出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其他国防支出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其他国防支出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三、公共安全支出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39711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38303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武装警察部队</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其他武装警察部队支出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公安</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29013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23977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17214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15998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6557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信息化建设</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执法办案</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2121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2606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特别业务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其他公安支出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3288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检察</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2366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1764</w:t>
            </w:r>
          </w:p>
        </w:tc>
        <w:tc>
          <w:tcPr>
            <w:tcW w:w="1612" w:type="dxa"/>
            <w:shd w:val="clear" w:color="auto" w:fill="auto"/>
            <w:noWrap/>
            <w:vAlign w:val="center"/>
          </w:tcPr>
          <w:p>
            <w:pPr>
              <w:widowControl/>
              <w:jc w:val="center"/>
              <w:rPr>
                <w:rFonts w:hint="default" w:ascii="Times New Roman" w:hAnsi="Times New Roman" w:eastAsia="宋体" w:cs="Times New Roman"/>
                <w:color w:val="000000"/>
                <w:kern w:val="0"/>
                <w:sz w:val="24"/>
                <w:szCs w:val="24"/>
                <w:lang w:val="en-US" w:eastAsia="zh-CN"/>
              </w:rPr>
            </w:pPr>
            <w:r>
              <w:rPr>
                <w:rFonts w:ascii="Times New Roman" w:hAnsi="Times New Roman" w:eastAsia="宋体" w:cs="Times New Roman"/>
                <w:color w:val="000000"/>
                <w:kern w:val="0"/>
                <w:sz w:val="24"/>
                <w:szCs w:val="24"/>
              </w:rPr>
              <w:t>15</w:t>
            </w:r>
            <w:r>
              <w:rPr>
                <w:rFonts w:hint="eastAsia" w:ascii="Times New Roman" w:hAnsi="Times New Roman" w:eastAsia="宋体" w:cs="Times New Roman"/>
                <w:color w:val="000000"/>
                <w:kern w:val="0"/>
                <w:sz w:val="24"/>
                <w:szCs w:val="24"/>
                <w:lang w:val="en-US" w:eastAsia="zh-CN"/>
              </w:rPr>
              <w:t>78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r>
              <w:rPr>
                <w:rFonts w:hint="eastAsia" w:ascii="Times New Roman" w:hAnsi="Times New Roman" w:eastAsia="宋体" w:cs="Times New Roman"/>
                <w:color w:val="000000"/>
                <w:kern w:val="0"/>
                <w:sz w:val="24"/>
                <w:szCs w:val="24"/>
                <w:lang w:val="en-US" w:eastAsia="zh-CN"/>
              </w:rPr>
              <w:t>5</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其他检察支出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602</w:t>
            </w:r>
          </w:p>
        </w:tc>
        <w:tc>
          <w:tcPr>
            <w:tcW w:w="1612" w:type="dxa"/>
            <w:shd w:val="clear" w:color="auto" w:fill="auto"/>
            <w:noWrap/>
            <w:vAlign w:val="center"/>
          </w:tcPr>
          <w:p>
            <w:pPr>
              <w:widowControl/>
              <w:jc w:val="center"/>
              <w:rPr>
                <w:rFonts w:hint="eastAsia" w:ascii="Times New Roman" w:hAnsi="Times New Roman" w:eastAsia="宋体" w:cs="Times New Roman"/>
                <w:color w:val="000000"/>
                <w:kern w:val="0"/>
                <w:sz w:val="24"/>
                <w:szCs w:val="24"/>
                <w:lang w:eastAsia="zh-CN"/>
              </w:rPr>
            </w:pPr>
            <w:r>
              <w:rPr>
                <w:rFonts w:ascii="Times New Roman" w:hAnsi="Times New Roman" w:eastAsia="宋体" w:cs="Times New Roman"/>
                <w:color w:val="000000"/>
                <w:kern w:val="0"/>
                <w:sz w:val="24"/>
                <w:szCs w:val="24"/>
              </w:rPr>
              <w:t>27</w:t>
            </w:r>
            <w:r>
              <w:rPr>
                <w:rFonts w:hint="eastAsia" w:ascii="Times New Roman" w:hAnsi="Times New Roman" w:eastAsia="宋体" w:cs="Times New Roman"/>
                <w:color w:val="000000"/>
                <w:kern w:val="0"/>
                <w:sz w:val="24"/>
                <w:szCs w:val="24"/>
                <w:lang w:val="en-US" w:eastAsia="zh-CN"/>
              </w:rPr>
              <w:t>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r>
              <w:rPr>
                <w:rFonts w:hint="eastAsia" w:ascii="Times New Roman" w:hAnsi="Times New Roman" w:eastAsia="宋体" w:cs="Times New Roman"/>
                <w:color w:val="000000"/>
                <w:kern w:val="0"/>
                <w:sz w:val="24"/>
                <w:szCs w:val="24"/>
                <w:lang w:val="en-US" w:eastAsia="zh-CN"/>
              </w:rPr>
              <w:t>3</w:t>
            </w:r>
            <w:r>
              <w:rPr>
                <w:rFonts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lang w:val="en-US" w:eastAsia="zh-CN"/>
              </w:rPr>
              <w:t>8</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法院</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6082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4241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3970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3394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案件审判</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-49.1 </w:t>
            </w:r>
          </w:p>
        </w:tc>
      </w:tr>
      <w:tr>
        <w:tblPrEx>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其他法院支出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司法</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2237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2044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1741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基层司法业务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普法宣传</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公共法律服务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社区矫正</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法治建设</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其他司法支出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其他公共安全支出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6115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其他公共安全支出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6115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四、教育支出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140119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140835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教育管理事务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其他教育管理事务支出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普通教育</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120972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107860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学前教育</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7974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10235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小学教育</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43970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37232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初中教育</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36301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27494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高中教育</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17795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14628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其他普通教育支出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14932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18271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职业教育</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8476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7048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中等职业教育</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4851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4233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技校教育</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1637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1901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其他职业教育支出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1988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成人教育</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其他成人教育支出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广播电视教育</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广播电视学校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特殊教育</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特殊学校教育</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进修及培训</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1662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教师进修</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干部教育</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其他进修培训</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教育费附加安排的支出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6933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其他教育费附加安排的支出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6933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其他教育支出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14369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其他教育支出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14369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五、科学技术支出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6317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7265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科学技术管理事务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基础研究</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机构运行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应用研究</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机构运行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技术研究与开发</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3946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6145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其他技术研究与开发支出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3946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6145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科学技术普及</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科普活动</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科技馆站</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其他科学技术普及支出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其他科学技术支出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科技奖励</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其他科学技术支出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六、文化旅游体育与传媒支出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12488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14809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文化和旅游</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6360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4776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图书馆</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艺术表演场所</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艺术表演团体</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文化活动</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群众文化</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文化创作与保护</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旅游宣传</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文化和旅游管理事务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其他文化和旅游支出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2122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文物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2724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文物保护</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1368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博物馆</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历史名城与古迹</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体育</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体育场馆</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其他体育支出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新闻出版电影</w:t>
            </w:r>
          </w:p>
        </w:tc>
        <w:tc>
          <w:tcPr>
            <w:tcW w:w="161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w:t>
            </w:r>
          </w:p>
        </w:tc>
        <w:tc>
          <w:tcPr>
            <w:tcW w:w="1612" w:type="dxa"/>
            <w:shd w:val="clear" w:color="auto" w:fill="auto"/>
            <w:noWrap/>
            <w:vAlign w:val="center"/>
          </w:tcPr>
          <w:p>
            <w:pPr>
              <w:widowControl/>
              <w:jc w:val="center"/>
              <w:rPr>
                <w:rFonts w:ascii="Times New Roman" w:hAnsi="Times New Roman" w:eastAsia="宋体" w:cs="Times New Roman"/>
                <w:color w:val="FFFF00"/>
                <w:kern w:val="0"/>
                <w:sz w:val="24"/>
                <w:szCs w:val="24"/>
              </w:rPr>
            </w:pPr>
            <w:r>
              <w:rPr>
                <w:rFonts w:ascii="Times New Roman" w:hAnsi="Times New Roman" w:eastAsia="宋体" w:cs="Times New Roman"/>
                <w:color w:val="FFFF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其他新闻出版电影支出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广播电视</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广播电视事务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1477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其他广播电视支出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其他文化旅游体育与传媒支出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7025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392.3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宣传文化发展专项支出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其他文化旅游体育与传媒支出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7025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七、社会保障和就业支出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146388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217884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人力资源和社会保障管理事务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4109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6491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劳动保障监察</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信息化建设</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社会保险经办机构</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2198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劳动关系和维权</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劳动人事争议调解仲裁</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其他人力资源和社会保障管理事务支出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3292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民政管理事务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2461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社会组织管理</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行政区划和地名管理</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基层政权建设和社区治理</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其他民政管理事务支出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1975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行政事业单位养老支出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42121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69275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行政单位离退休</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事业单位离退休</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离退休人员管理机构</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机关事业单位基本养老保险缴费支出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17432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机关事业单位职业年金缴费支出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8736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对机关事业单位基本养老保险基金的补助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41534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41629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企业改革补助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企业关闭破产补助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就业补助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社会保险补贴</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其他就业补助支出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抚恤</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7378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7407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死亡抚恤</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义务兵优待</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1584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1433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其他优抚支出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4452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4444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退役安置</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1951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退役士兵安置</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军队移交政府的离退休人员安置</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军队移交政府离退休干部管理机构</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退役士兵管理教育</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军队转业干部安置</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其他退役安置支出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社会福利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5492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5956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儿童福利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老年福利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殡葬</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社会福利事业单位</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养老服务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3223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其他社会福利支出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残疾人事业</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5317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7760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残疾人康复</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残疾人就业和扶贫</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残疾人体育</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残疾人生活和护理补贴</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3671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6055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其他残疾人事业支出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红十字事业</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其他红十字事业支出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最低生活保障</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9364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8907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农村最低生活保障金支出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9364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8907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临时救助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临时救助支出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流浪乞讨人员救助支出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特困人员救助供养</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农村特困人员救助供养支出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补充道路交通事故社会救助基金</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交强险罚款收入补助基金支出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其他生活救助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3122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1638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其他城市生活救助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其他农村生活救助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2422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财政对基本养老保险基金的补助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41849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50675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财政对城乡居民基本养老保险基金的补助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41849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50675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财政对其他社会保险基金的补助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5419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财政对工伤保险基金的补助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5419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其他财政对社会保险基金的补助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退役军人管理事务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拥军优属</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其他退役军人事务管理支出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财政代缴社会保险费支出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财政代缴城乡居民基本养老保险费支出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财政代缴其他社会保险费支出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其他社会保障和就业支出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16548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46805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182.8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其他社会保障和就业支出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16548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46805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182.8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八、卫生健康支出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100890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94814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卫生健康管理事务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1290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1901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1290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其他卫生健康管理事务支出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公立医院</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2946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4681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综合医院</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2782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中医（民族）医院</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1882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其他公立医院支出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基层医疗卫生机构</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4932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7587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乡镇卫生院</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3859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6479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其他基层医疗卫生机构支出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公共卫生</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36444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16133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疾病预防控制机构</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卫生监督机构</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妇幼保健机构</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精神卫生机构</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应急救治机构</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采供血机构</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基本公共卫生服务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5783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5916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重大公共卫生服务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突发公共卫生事件应急处理</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25628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其他公共卫生支出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中医药</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8511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其他中医药支出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8511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计划生育事务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2597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3132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计划生育机构</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计划生育服务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2597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3132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其他计划生育事务支出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行政事业单位医疗</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11261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11777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行政单位医疗</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1945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3383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事业单位医疗</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6016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6709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公务员医疗补助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2735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1685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其他行政事业单位医疗支出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财政对基本医疗保险基金的补助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20784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23634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财政对职工基本医疗保险基金的补助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财政对城乡居民基本医疗保险基金的补助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20449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23634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医疗救助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4412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4983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城乡医疗救助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4345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4983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疾病应急救助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优抚对象医疗</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优抚对象医疗补助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其他优抚对象医疗支出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医疗保障管理事务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1868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信息化建设</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医疗保障政策管理</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其他医疗保障管理事务支出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老龄卫生健康事务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老龄卫生健康事务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其他卫生健康支出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5621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8969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其他卫生健康支出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5621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8969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九、节能环保支出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4867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环境保护管理事务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污染防治</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2059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大气</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水体</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土壤</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其他污染防治支出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自然生态保护</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生态保护</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天然林保护</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停伐补助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能源节约利用</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能源节约利用</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污染减排</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生态环境监测与信息</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生态环境执法监察</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其他污染减排支出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能源管理事务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其他能源管理事务支出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其他节能环保支出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其他节能环保支出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十、城乡社区支出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24359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28168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城乡社区管理事务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7761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4966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城管执法</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5540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3664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工程建设管理</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其他城乡社区管理事务支出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城乡社区规划与管理</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城乡社区规划与管理</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城乡社区公共设施</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3129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3346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其他城乡社区公共设施支出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3129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3346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城乡社区环境卫生</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城乡社区环境卫生</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建设市场管理与监督</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建设市场管理与监督</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其他城乡社区支出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11105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18324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其他城乡社区支出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11105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18324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十一、农林水支出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77476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72577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农业农村</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31149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27872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9027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7388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科技转化与推广服务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病虫害控制</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农产品质量安全</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1733.3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执法监管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统计监测与信息服务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行业业务管理</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防灾救灾</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稳定农民收入补贴</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农业结构调整补贴</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农业生产发展</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农村合作经济</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农业资源保护修复与利用</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渔业发展</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成品油价格改革对渔业的补贴</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对高校毕业生到基层任职补助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农田建设</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其他农业农村支出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18506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17170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林业和草原</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5523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3658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事业机构</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森林资源培育</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森林资源管理</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森林生态效益补偿</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动植物保护</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林业草原防灾减灾</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其他林业和草原支出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2298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21704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17396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水利行业业务管理</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1436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水利工程建设</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2139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水利工程运行与维护</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2933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2994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水利前期工作</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水土保持</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水资源节约管理与保护</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水文测报</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防汛</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抗旱</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val="en-US" w:eastAsia="zh-CN"/>
              </w:rPr>
              <w:t>-86.3</w:t>
            </w: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农村水利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672" w:firstLineChars="300"/>
              <w:jc w:val="left"/>
              <w:rPr>
                <w:rFonts w:ascii="Times New Roman" w:hAnsi="Times New Roman" w:eastAsia="宋体" w:cs="Times New Roman"/>
                <w:color w:val="000000"/>
                <w:spacing w:val="-8"/>
                <w:kern w:val="0"/>
                <w:sz w:val="24"/>
                <w:szCs w:val="24"/>
              </w:rPr>
            </w:pPr>
            <w:r>
              <w:rPr>
                <w:rFonts w:ascii="Times New Roman" w:hAnsi="Times New Roman" w:eastAsia="宋体" w:cs="Times New Roman"/>
                <w:color w:val="000000"/>
                <w:spacing w:val="-8"/>
                <w:kern w:val="0"/>
                <w:sz w:val="24"/>
                <w:szCs w:val="24"/>
              </w:rPr>
              <w:t>大中型水库移民后期扶持专项支出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水利安全监督</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水利建设征地及移民支出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2336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农村人畜饮水</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其他水利支出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9110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8788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扶贫</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1866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3261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生产发展</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其他扶贫支出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1766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农村综合改革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16594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7788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对村级公益事业建设的补助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对村民委员会和村党支部的补助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6762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其他农村综合改革支出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其他农村综合改革支出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普惠金融发展支出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农业保险保费补贴</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其他农林水支出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12448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2068.6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其他农林水支出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12448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2068.6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十二、交通运输支出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76567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28041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公路水路运输</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36018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10818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公路建设</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公路养护</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val="en-US" w:eastAsia="zh-CN"/>
              </w:rPr>
              <w:t>38.6</w:t>
            </w: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其他公路水路运输支出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32938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9157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铁路运输</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其他铁路运输支出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成品油价格改革对交通运输的补贴</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对农村道路客运的补贴</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对出租车的补贴</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邮政业支出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行业监管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其他邮政业支出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车辆购置税支出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40043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车辆购置税用于公路等基础设施建设支出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40043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其他交通运输支出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公共交通运营补助</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其他交通运输支出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十三、资源勘探工业信息等支出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44706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43441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建筑业</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其他建筑业支出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工业和信息产业监管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10465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3465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产业发展</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9641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2832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其他工业和信息产业监管支出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支持中小企业发展和管理支出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30959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39476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中小企业发展专项</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672" w:firstLineChars="300"/>
              <w:jc w:val="left"/>
              <w:rPr>
                <w:rFonts w:ascii="Times New Roman" w:hAnsi="Times New Roman" w:eastAsia="宋体" w:cs="Times New Roman"/>
                <w:color w:val="000000"/>
                <w:spacing w:val="-8"/>
                <w:kern w:val="0"/>
                <w:sz w:val="24"/>
                <w:szCs w:val="24"/>
              </w:rPr>
            </w:pPr>
            <w:r>
              <w:rPr>
                <w:rFonts w:ascii="Times New Roman" w:hAnsi="Times New Roman" w:eastAsia="宋体" w:cs="Times New Roman"/>
                <w:color w:val="000000"/>
                <w:spacing w:val="-8"/>
                <w:kern w:val="0"/>
                <w:sz w:val="24"/>
                <w:szCs w:val="24"/>
              </w:rPr>
              <w:t>其他支持中小企业发展和管理支出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30136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39168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其他资源勘探工业信息等支出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2782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其他资源勘探工业信息等支出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2782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十四、商业服务业等支出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6089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5625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商业流通事务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其他商业流通事务支出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涉外发展服务支出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4286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4041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其他涉外发展服务支出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4286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4041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其他商业服务业等支出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其他商业服务业等支出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十五、金融支出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其他金融支出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其他金融支出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十六、自然资源海洋气象等支出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6623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15156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自然资源事务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4849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10739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自然资源利用与保护</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6395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5057.3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自然资源调查与确权登记</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基础测绘与地理信息监管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3292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其他自然资源事务支出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气象事务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气象事业机构</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气象装备保障维护</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其他气象事务支出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其他自然资源海洋气象等支出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4047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其他自然资源海洋气象等支出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4047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十七、住房保障支出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12262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26080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保障性安居工程支出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10692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4602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农村危房改造</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公共租赁住房</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保障性住房租金补贴</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老旧小区改造</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8022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保障性租赁住房</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1740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其他保障性安居工程支出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1978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城乡社区住宅</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20238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1189.0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住房公积金管理</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20238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5553.1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其他城乡社区住宅支出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1212</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城乡社区住宅</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住房公积金管理</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其他城乡社区住宅支出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十八、粮油物资储备支出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粮油物资事务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粮食财务挂账利息补贴</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粮油储备</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储备粮油补贴</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重要商品储备</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应急物资储备</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其他重要商品储备支出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十九、灾害防治及应急管理支出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4813</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3816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应急管理事务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一般行政管理事务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灾害风险防治</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安全监管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应急救援</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应急管理</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事业运行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其他应急管理支出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517</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消防事务</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2875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2498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行政运行</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消防应急救援</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2551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2498</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其他消防事务支出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自然灾害防治</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森林草原防灾减灾</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其他自然灾害防治支出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其他灾害防治及应急管理支出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其他灾害防治及应急管理支出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二十、预备费</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二十一、其他支出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22836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22475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22836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22475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22836</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22475</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二十二、债务付息支出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6561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地方政府一般债务付息支出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6561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地方政府一般债券付息支出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6600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720" w:firstLineChars="3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地方政府向国际组织借款付息支出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二十二、债务发行费用支出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34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地方政府一般债务发行费用支出</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61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66.7 </w:t>
            </w:r>
          </w:p>
        </w:tc>
      </w:tr>
    </w:tbl>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bookmarkStart w:id="11" w:name="RANGE!A1:D33"/>
      <w:r>
        <w:rPr>
          <w:rFonts w:ascii="Times New Roman" w:hAnsi="Times New Roman" w:eastAsia="方正小标宋简体" w:cs="Times New Roman"/>
          <w:color w:val="000000"/>
          <w:kern w:val="0"/>
          <w:sz w:val="44"/>
          <w:szCs w:val="44"/>
        </w:rPr>
        <w:t>2023年一般公共预算</w:t>
      </w:r>
      <w:r>
        <w:rPr>
          <w:rFonts w:hint="eastAsia" w:ascii="Times New Roman" w:hAnsi="Times New Roman" w:eastAsia="方正小标宋简体" w:cs="Times New Roman"/>
          <w:color w:val="000000"/>
          <w:kern w:val="0"/>
          <w:sz w:val="44"/>
          <w:szCs w:val="44"/>
          <w:lang w:val="en-US" w:eastAsia="zh-CN"/>
        </w:rPr>
        <w:t>本级</w:t>
      </w:r>
      <w:r>
        <w:rPr>
          <w:rFonts w:ascii="Times New Roman" w:hAnsi="Times New Roman" w:eastAsia="方正小标宋简体" w:cs="Times New Roman"/>
          <w:color w:val="000000"/>
          <w:kern w:val="0"/>
          <w:sz w:val="44"/>
          <w:szCs w:val="44"/>
        </w:rPr>
        <w:t>基本支出预算表</w:t>
      </w:r>
      <w:bookmarkEnd w:id="11"/>
    </w:p>
    <w:p>
      <w:pPr>
        <w:rPr>
          <w:rFonts w:ascii="Times New Roman" w:hAnsi="Times New Roman" w:eastAsia="楷体_GB2312" w:cs="Times New Roman"/>
          <w:color w:val="000000" w:themeColor="text1"/>
          <w:kern w:val="0"/>
          <w:sz w:val="24"/>
          <w:szCs w:val="2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表十六                                                        单位：万元</w:t>
      </w:r>
    </w:p>
    <w:tbl>
      <w:tblPr>
        <w:tblStyle w:val="7"/>
        <w:tblW w:w="91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74"/>
        <w:gridCol w:w="1637"/>
        <w:gridCol w:w="1637"/>
        <w:gridCol w:w="16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atLeast"/>
          <w:jc w:val="center"/>
        </w:trPr>
        <w:tc>
          <w:tcPr>
            <w:tcW w:w="4274"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w:t>
            </w:r>
            <w:r>
              <w:rPr>
                <w:rFonts w:hint="eastAsia" w:ascii="Times New Roman" w:hAnsi="Times New Roman" w:eastAsia="黑体" w:cs="Times New Roman"/>
                <w:color w:val="000000"/>
                <w:kern w:val="0"/>
                <w:sz w:val="24"/>
                <w:szCs w:val="24"/>
              </w:rPr>
              <w:t xml:space="preserve">  </w:t>
            </w:r>
            <w:r>
              <w:rPr>
                <w:rFonts w:ascii="Times New Roman" w:hAnsi="Times New Roman" w:eastAsia="黑体" w:cs="Times New Roman"/>
                <w:color w:val="000000"/>
                <w:kern w:val="0"/>
                <w:sz w:val="24"/>
                <w:szCs w:val="24"/>
              </w:rPr>
              <w:t xml:space="preserve">    目</w:t>
            </w:r>
          </w:p>
        </w:tc>
        <w:tc>
          <w:tcPr>
            <w:tcW w:w="1637"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执行数</w:t>
            </w:r>
          </w:p>
        </w:tc>
        <w:tc>
          <w:tcPr>
            <w:tcW w:w="1637"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2023年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预算数</w:t>
            </w:r>
          </w:p>
        </w:tc>
        <w:tc>
          <w:tcPr>
            <w:tcW w:w="1637"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比上年±%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合计</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256602</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298016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一、机关工资福利支出</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95558</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98853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工资奖金津补贴</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70452</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69351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社会保障缴费</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13964</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15709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住房公积金</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7530</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8616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其他工资福利支出</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3612</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5177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二、机关商品和服务支出</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7029</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10685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办公经费</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5086</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6805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会议费</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培训费</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专用材料购置费</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156.52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委托业务费</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148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公务接待费</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1259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923.75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因公出国（境）费用</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公务用车运行维护费</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804</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1022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维修（护）费</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164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113.44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其他商品和服务支出</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636</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1064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三、机关资本性支出（一）</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168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设备购置</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168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四、对事业单位经常性补助</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150201</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184880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工资福利支出</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141169</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173168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商品和服务支出</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9032</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11713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五、对事业单位资本性补助</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515</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119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资本性支出（一）</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515</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119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六、对个人和家庭的补助</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3187</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3311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社会福利和救助</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1889</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2929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助学金</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离退休费</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1273</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358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4274"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其他对个人和家庭补助</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 </w:t>
            </w:r>
          </w:p>
        </w:tc>
        <w:tc>
          <w:tcPr>
            <w:tcW w:w="163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487.75 </w:t>
            </w:r>
          </w:p>
        </w:tc>
      </w:tr>
    </w:tbl>
    <w:p>
      <w:pPr>
        <w:rPr>
          <w:rFonts w:ascii="Times New Roman" w:hAnsi="Times New Roman" w:cs="Times New Roman"/>
        </w:rPr>
      </w:pPr>
    </w:p>
    <w:tbl>
      <w:tblPr>
        <w:tblStyle w:val="7"/>
        <w:tblW w:w="9048" w:type="dxa"/>
        <w:tblInd w:w="108" w:type="dxa"/>
        <w:tblLayout w:type="fixed"/>
        <w:tblCellMar>
          <w:top w:w="0" w:type="dxa"/>
          <w:left w:w="108" w:type="dxa"/>
          <w:bottom w:w="0" w:type="dxa"/>
          <w:right w:w="108" w:type="dxa"/>
        </w:tblCellMar>
      </w:tblPr>
      <w:tblGrid>
        <w:gridCol w:w="9048"/>
      </w:tblGrid>
      <w:tr>
        <w:tblPrEx>
          <w:tblCellMar>
            <w:top w:w="0" w:type="dxa"/>
            <w:left w:w="108" w:type="dxa"/>
            <w:bottom w:w="0" w:type="dxa"/>
            <w:right w:w="108" w:type="dxa"/>
          </w:tblCellMar>
        </w:tblPrEx>
        <w:trPr>
          <w:trHeight w:val="303" w:hRule="atLeast"/>
        </w:trPr>
        <w:tc>
          <w:tcPr>
            <w:tcW w:w="9048"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sz w:val="22"/>
              </w:rPr>
            </w:pPr>
            <w:r>
              <w:rPr>
                <w:rFonts w:ascii="Times New Roman" w:hAnsi="Times New Roman" w:eastAsia="楷体_GB2312" w:cs="Times New Roman"/>
                <w:sz w:val="22"/>
              </w:rPr>
              <w:t>注：1.基本支出增加主要是规范基本支出与项目支出边界，部分项目支出调整到基本支出。</w:t>
            </w:r>
          </w:p>
        </w:tc>
      </w:tr>
    </w:tbl>
    <w:p>
      <w:pPr>
        <w:spacing w:line="600" w:lineRule="exact"/>
        <w:jc w:val="center"/>
        <w:rPr>
          <w:rFonts w:ascii="Times New Roman" w:hAnsi="Times New Roman" w:eastAsia="方正小标宋简体" w:cs="Times New Roman"/>
          <w:color w:val="000000" w:themeColor="text1"/>
          <w:spacing w:val="-14"/>
          <w:w w:val="95"/>
          <w:kern w:val="0"/>
          <w:sz w:val="44"/>
          <w:szCs w:val="44"/>
        </w:rPr>
      </w:pPr>
      <w:r>
        <w:rPr>
          <w:rFonts w:ascii="Times New Roman" w:hAnsi="Times New Roman" w:eastAsia="方正小标宋简体" w:cs="Times New Roman"/>
          <w:color w:val="000000"/>
          <w:spacing w:val="-14"/>
          <w:w w:val="95"/>
          <w:kern w:val="0"/>
          <w:sz w:val="44"/>
          <w:szCs w:val="44"/>
        </w:rPr>
        <w:t>2023年一般公共预算税收返还和转移支付预算表</w:t>
      </w:r>
    </w:p>
    <w:p>
      <w:pPr>
        <w:rPr>
          <w:rFonts w:ascii="Times New Roman" w:hAnsi="Times New Roman" w:eastAsia="楷体_GB2312" w:cs="Times New Roman"/>
          <w:color w:val="000000" w:themeColor="text1"/>
          <w:kern w:val="0"/>
          <w:sz w:val="24"/>
          <w:szCs w:val="2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表十七                                                        单位：万元</w:t>
      </w:r>
    </w:p>
    <w:tbl>
      <w:tblPr>
        <w:tblStyle w:val="7"/>
        <w:tblW w:w="96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70"/>
        <w:gridCol w:w="2165"/>
        <w:gridCol w:w="21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5270" w:type="dxa"/>
            <w:shd w:val="clear" w:color="auto" w:fill="auto"/>
            <w:noWrap/>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2165"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2022年执行数</w:t>
            </w:r>
          </w:p>
        </w:tc>
        <w:tc>
          <w:tcPr>
            <w:tcW w:w="2165"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2023年预算数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527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一、税收返还</w:t>
            </w:r>
          </w:p>
        </w:tc>
        <w:tc>
          <w:tcPr>
            <w:tcW w:w="2165"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216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527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二、一般转移支付</w:t>
            </w:r>
          </w:p>
        </w:tc>
        <w:tc>
          <w:tcPr>
            <w:tcW w:w="216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216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527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三、专项转移支付</w:t>
            </w:r>
          </w:p>
        </w:tc>
        <w:tc>
          <w:tcPr>
            <w:tcW w:w="216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216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5270"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其中:专项转移支付分地区</w:t>
            </w:r>
          </w:p>
        </w:tc>
        <w:tc>
          <w:tcPr>
            <w:tcW w:w="2165"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2165"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5270" w:type="dxa"/>
            <w:shd w:val="clear" w:color="auto" w:fill="auto"/>
            <w:noWrap/>
            <w:vAlign w:val="center"/>
          </w:tcPr>
          <w:p>
            <w:pPr>
              <w:widowControl/>
              <w:ind w:firstLine="960" w:firstLineChars="4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专项转移支付分项目</w:t>
            </w:r>
          </w:p>
        </w:tc>
        <w:tc>
          <w:tcPr>
            <w:tcW w:w="216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2165"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widowControl/>
        <w:spacing w:after="156" w:afterLines="50"/>
        <w:jc w:val="left"/>
        <w:rPr>
          <w:rFonts w:ascii="Times New Roman" w:hAnsi="Times New Roman" w:eastAsia="楷体_GB2312" w:cs="Times New Roman"/>
          <w:sz w:val="22"/>
        </w:rPr>
      </w:pPr>
      <w:r>
        <w:rPr>
          <w:rFonts w:ascii="Times New Roman" w:hAnsi="Times New Roman" w:eastAsia="楷体_GB2312" w:cs="Times New Roman"/>
          <w:sz w:val="22"/>
        </w:rPr>
        <w:t>注：我市无对下安排的税收返还和转移支付。</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color w:val="000000" w:themeColor="text1"/>
          <w:spacing w:val="-6"/>
          <w:kern w:val="0"/>
          <w:sz w:val="24"/>
          <w:szCs w:val="24"/>
          <w:lang w:val="en-US" w:eastAsia="zh-CN"/>
        </w:rPr>
      </w:pPr>
    </w:p>
    <w:p>
      <w:pPr>
        <w:spacing w:line="600" w:lineRule="exact"/>
        <w:jc w:val="center"/>
        <w:rPr>
          <w:rFonts w:hint="default" w:ascii="Times New Roman" w:hAnsi="Times New Roman" w:eastAsia="方正小标宋简体" w:cs="Times New Roman"/>
          <w:color w:val="000000" w:themeColor="text1"/>
          <w:spacing w:val="-14"/>
          <w:w w:val="95"/>
          <w:kern w:val="0"/>
          <w:sz w:val="44"/>
          <w:szCs w:val="44"/>
          <w:lang w:val="en-US" w:eastAsia="zh-CN"/>
        </w:rPr>
      </w:pPr>
      <w:r>
        <w:rPr>
          <w:rFonts w:hint="eastAsia" w:ascii="Times New Roman" w:hAnsi="Times New Roman" w:eastAsia="方正小标宋简体" w:cs="Times New Roman"/>
          <w:color w:val="000000"/>
          <w:spacing w:val="-14"/>
          <w:w w:val="95"/>
          <w:kern w:val="0"/>
          <w:sz w:val="44"/>
          <w:szCs w:val="44"/>
          <w:lang w:val="en-US" w:eastAsia="zh-CN"/>
        </w:rPr>
        <w:t>关于</w:t>
      </w:r>
      <w:r>
        <w:rPr>
          <w:rFonts w:ascii="Times New Roman" w:hAnsi="Times New Roman" w:eastAsia="方正小标宋简体" w:cs="Times New Roman"/>
          <w:color w:val="000000"/>
          <w:spacing w:val="-14"/>
          <w:w w:val="95"/>
          <w:kern w:val="0"/>
          <w:sz w:val="44"/>
          <w:szCs w:val="44"/>
        </w:rPr>
        <w:t>2023年一般公共预算税收返还和转移支付预算</w:t>
      </w:r>
      <w:r>
        <w:rPr>
          <w:rFonts w:hint="eastAsia" w:ascii="Times New Roman" w:hAnsi="Times New Roman" w:eastAsia="方正小标宋简体" w:cs="Times New Roman"/>
          <w:color w:val="000000"/>
          <w:spacing w:val="-14"/>
          <w:w w:val="95"/>
          <w:kern w:val="0"/>
          <w:sz w:val="44"/>
          <w:szCs w:val="44"/>
          <w:lang w:val="en-US" w:eastAsia="zh-CN"/>
        </w:rPr>
        <w:t>的情况说明</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jc w:val="both"/>
        <w:textAlignment w:val="auto"/>
        <w:rPr>
          <w:rFonts w:hint="default" w:ascii="仿宋" w:hAnsi="仿宋" w:eastAsia="仿宋" w:cs="仿宋"/>
          <w:b w:val="0"/>
          <w:bCs w:val="0"/>
          <w:color w:val="000000" w:themeColor="text1"/>
          <w:spacing w:val="-6"/>
          <w:kern w:val="0"/>
          <w:sz w:val="32"/>
          <w:szCs w:val="32"/>
          <w:lang w:val="en-US" w:eastAsia="zh-CN"/>
        </w:rPr>
      </w:pPr>
      <w:r>
        <w:rPr>
          <w:rFonts w:hint="eastAsia" w:ascii="仿宋" w:hAnsi="仿宋" w:eastAsia="仿宋" w:cs="仿宋"/>
          <w:b/>
          <w:bCs/>
          <w:color w:val="000000" w:themeColor="text1"/>
          <w:spacing w:val="-6"/>
          <w:kern w:val="0"/>
          <w:sz w:val="32"/>
          <w:szCs w:val="32"/>
          <w:lang w:val="en-US" w:eastAsia="zh-CN"/>
        </w:rPr>
        <w:t>一、税收返还。</w:t>
      </w:r>
      <w:r>
        <w:rPr>
          <w:rFonts w:hint="eastAsia" w:ascii="仿宋" w:hAnsi="仿宋" w:eastAsia="仿宋" w:cs="仿宋"/>
          <w:b w:val="0"/>
          <w:bCs w:val="0"/>
          <w:color w:val="000000" w:themeColor="text1"/>
          <w:spacing w:val="-6"/>
          <w:kern w:val="0"/>
          <w:sz w:val="32"/>
          <w:szCs w:val="32"/>
          <w:lang w:val="en-US" w:eastAsia="zh-CN"/>
        </w:rPr>
        <w:t>2022年我市税收返还执行数为0，2023年预算数为0。</w:t>
      </w: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jc w:val="both"/>
        <w:textAlignment w:val="auto"/>
        <w:rPr>
          <w:rFonts w:hint="default" w:ascii="仿宋" w:hAnsi="仿宋" w:eastAsia="仿宋" w:cs="仿宋"/>
          <w:b w:val="0"/>
          <w:bCs w:val="0"/>
          <w:color w:val="000000" w:themeColor="text1"/>
          <w:spacing w:val="-6"/>
          <w:kern w:val="0"/>
          <w:sz w:val="32"/>
          <w:szCs w:val="32"/>
          <w:lang w:val="en-US" w:eastAsia="zh-CN"/>
        </w:rPr>
      </w:pPr>
      <w:r>
        <w:rPr>
          <w:rFonts w:hint="eastAsia" w:ascii="仿宋" w:hAnsi="仿宋" w:eastAsia="仿宋" w:cs="仿宋"/>
          <w:b/>
          <w:bCs/>
          <w:color w:val="000000" w:themeColor="text1"/>
          <w:spacing w:val="-6"/>
          <w:kern w:val="0"/>
          <w:sz w:val="32"/>
          <w:szCs w:val="32"/>
          <w:lang w:val="en-US" w:eastAsia="zh-CN"/>
        </w:rPr>
        <w:t>二、一般转移支付。</w:t>
      </w:r>
      <w:r>
        <w:rPr>
          <w:rFonts w:hint="eastAsia" w:ascii="仿宋" w:hAnsi="仿宋" w:eastAsia="仿宋" w:cs="仿宋"/>
          <w:b w:val="0"/>
          <w:bCs w:val="0"/>
          <w:color w:val="000000" w:themeColor="text1"/>
          <w:spacing w:val="-6"/>
          <w:kern w:val="0"/>
          <w:sz w:val="32"/>
          <w:szCs w:val="32"/>
          <w:lang w:val="en-US" w:eastAsia="zh-CN"/>
        </w:rPr>
        <w:t>2022年我市一般转移支付执行数为0，2023年预算数为0。</w:t>
      </w: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jc w:val="both"/>
        <w:textAlignment w:val="auto"/>
        <w:rPr>
          <w:rFonts w:hint="eastAsia" w:ascii="Times New Roman" w:hAnsi="Times New Roman" w:eastAsia="方正小标宋简体" w:cs="Times New Roman"/>
          <w:color w:val="000000" w:themeColor="text1"/>
          <w:spacing w:val="-6"/>
          <w:kern w:val="0"/>
          <w:sz w:val="32"/>
          <w:szCs w:val="32"/>
        </w:rPr>
      </w:pPr>
      <w:r>
        <w:rPr>
          <w:rFonts w:hint="eastAsia" w:ascii="仿宋" w:hAnsi="仿宋" w:eastAsia="仿宋" w:cs="仿宋"/>
          <w:b/>
          <w:bCs/>
          <w:color w:val="000000" w:themeColor="text1"/>
          <w:spacing w:val="-6"/>
          <w:kern w:val="0"/>
          <w:sz w:val="32"/>
          <w:szCs w:val="32"/>
          <w:lang w:val="en-US" w:eastAsia="zh-CN"/>
        </w:rPr>
        <w:t>三、专项转移支付。</w:t>
      </w:r>
      <w:r>
        <w:rPr>
          <w:rFonts w:hint="eastAsia" w:ascii="仿宋" w:hAnsi="仿宋" w:eastAsia="仿宋" w:cs="仿宋"/>
          <w:color w:val="000000" w:themeColor="text1"/>
          <w:spacing w:val="-6"/>
          <w:kern w:val="0"/>
          <w:sz w:val="32"/>
          <w:szCs w:val="32"/>
          <w:lang w:val="en-US" w:eastAsia="zh-CN"/>
        </w:rPr>
        <w:t>2022年我市专项转移支付执行数为0，2023年预算数为0。</w:t>
      </w: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both"/>
        <w:rPr>
          <w:rFonts w:ascii="Times New Roman" w:hAnsi="Times New Roman" w:eastAsia="方正小标宋简体" w:cs="Times New Roman"/>
          <w:color w:val="000000"/>
          <w:kern w:val="0"/>
          <w:sz w:val="44"/>
          <w:szCs w:val="44"/>
        </w:rPr>
      </w:pPr>
      <w:bookmarkStart w:id="12" w:name="RANGE!A1:D21"/>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ascii="Times New Roman" w:hAnsi="Times New Roman" w:eastAsia="方正小标宋简体" w:cs="Times New Roman"/>
          <w:color w:val="000000"/>
          <w:kern w:val="0"/>
          <w:sz w:val="44"/>
          <w:szCs w:val="44"/>
        </w:rPr>
        <w:t>2023年政府性基金预算收入预算表</w:t>
      </w:r>
      <w:bookmarkEnd w:id="12"/>
    </w:p>
    <w:p>
      <w:pPr>
        <w:rPr>
          <w:rFonts w:ascii="Times New Roman" w:hAnsi="Times New Roman" w:eastAsia="楷体_GB2312" w:cs="Times New Roman"/>
          <w:color w:val="000000" w:themeColor="text1"/>
          <w:kern w:val="0"/>
          <w:sz w:val="24"/>
          <w:szCs w:val="2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表十八                                                         单位：万元</w:t>
      </w:r>
    </w:p>
    <w:tbl>
      <w:tblPr>
        <w:tblStyle w:val="7"/>
        <w:tblW w:w="92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92"/>
        <w:gridCol w:w="1452"/>
        <w:gridCol w:w="1452"/>
        <w:gridCol w:w="14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3" w:hRule="atLeast"/>
          <w:jc w:val="center"/>
        </w:trPr>
        <w:tc>
          <w:tcPr>
            <w:tcW w:w="4892" w:type="dxa"/>
            <w:shd w:val="clear" w:color="auto" w:fill="auto"/>
            <w:noWrap/>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1452"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执行数</w:t>
            </w:r>
          </w:p>
        </w:tc>
        <w:tc>
          <w:tcPr>
            <w:tcW w:w="1452"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2023年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预算数</w:t>
            </w:r>
          </w:p>
        </w:tc>
        <w:tc>
          <w:tcPr>
            <w:tcW w:w="1452"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比上年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4892" w:type="dxa"/>
            <w:shd w:val="clear" w:color="auto" w:fill="auto"/>
            <w:noWrap/>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一、本级收入</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686293</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725320</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4892"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（一）国有土地收益基金收入</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49120</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22000</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4892"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（二）农业土地开发资金收入</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1341</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1930</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4892"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（三）国有土地使用权出让收入</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545172</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546070</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4892"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（四）彩票公益金收入</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419</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420</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4892"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（五）城市基础设施配套费收入</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1196</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1400</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4892"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（六）污水处理费收入</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7128</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3500</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4892"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（七）其他政府性基金收入</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81917</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150000</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4892" w:type="dxa"/>
            <w:shd w:val="clear" w:color="auto" w:fill="auto"/>
            <w:noWrap/>
            <w:vAlign w:val="center"/>
          </w:tcPr>
          <w:p>
            <w:pPr>
              <w:widowControl/>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二、转移性收入</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228941</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70842</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4892"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（一）上级转移支付收入</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7543</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6000</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4892"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（二）地方政府专项债务转贷收入</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204000</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34000</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4892"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（三）调入资金</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3578</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8310</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4892"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（四）使用结转资金</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13820</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22532</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4892" w:type="dxa"/>
            <w:shd w:val="clear" w:color="auto" w:fill="auto"/>
            <w:vAlign w:val="center"/>
          </w:tcPr>
          <w:p>
            <w:pPr>
              <w:widowControl/>
              <w:ind w:firstLine="241" w:firstLineChars="100"/>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收入合计</w:t>
            </w:r>
          </w:p>
        </w:tc>
        <w:tc>
          <w:tcPr>
            <w:tcW w:w="145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915234</w:t>
            </w:r>
          </w:p>
        </w:tc>
        <w:tc>
          <w:tcPr>
            <w:tcW w:w="145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796162</w:t>
            </w:r>
          </w:p>
        </w:tc>
        <w:tc>
          <w:tcPr>
            <w:tcW w:w="1452"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rPr>
          <w:rFonts w:ascii="Times New Roman" w:hAnsi="Times New Roman" w:cs="Times New Roman"/>
        </w:rPr>
      </w:pPr>
    </w:p>
    <w:tbl>
      <w:tblPr>
        <w:tblStyle w:val="7"/>
        <w:tblW w:w="9235" w:type="dxa"/>
        <w:jc w:val="center"/>
        <w:tblLayout w:type="fixed"/>
        <w:tblCellMar>
          <w:top w:w="0" w:type="dxa"/>
          <w:left w:w="108" w:type="dxa"/>
          <w:bottom w:w="0" w:type="dxa"/>
          <w:right w:w="108" w:type="dxa"/>
        </w:tblCellMar>
      </w:tblPr>
      <w:tblGrid>
        <w:gridCol w:w="9235"/>
      </w:tblGrid>
      <w:tr>
        <w:tblPrEx>
          <w:tblCellMar>
            <w:top w:w="0" w:type="dxa"/>
            <w:left w:w="108" w:type="dxa"/>
            <w:bottom w:w="0" w:type="dxa"/>
            <w:right w:w="108" w:type="dxa"/>
          </w:tblCellMar>
        </w:tblPrEx>
        <w:trPr>
          <w:trHeight w:val="427" w:hRule="atLeast"/>
          <w:jc w:val="center"/>
        </w:trPr>
        <w:tc>
          <w:tcPr>
            <w:tcW w:w="9235" w:type="dxa"/>
            <w:tcBorders>
              <w:top w:val="nil"/>
              <w:left w:val="nil"/>
              <w:bottom w:val="nil"/>
              <w:right w:val="nil"/>
            </w:tcBorders>
            <w:shd w:val="clear" w:color="auto" w:fill="auto"/>
            <w:vAlign w:val="center"/>
          </w:tcPr>
          <w:p>
            <w:pPr>
              <w:widowControl/>
              <w:jc w:val="left"/>
              <w:rPr>
                <w:rFonts w:ascii="Times New Roman" w:hAnsi="Times New Roman" w:eastAsia="楷体_GB2312" w:cs="Times New Roman"/>
                <w:sz w:val="22"/>
              </w:rPr>
            </w:pPr>
            <w:r>
              <w:rPr>
                <w:rFonts w:ascii="Times New Roman" w:hAnsi="Times New Roman" w:eastAsia="楷体_GB2312" w:cs="Times New Roman"/>
                <w:sz w:val="22"/>
              </w:rPr>
              <w:t>注：1.国有土地收益基金收入减少主要是2022年收入基数较大。</w:t>
            </w:r>
          </w:p>
        </w:tc>
      </w:tr>
      <w:tr>
        <w:tblPrEx>
          <w:tblCellMar>
            <w:top w:w="0" w:type="dxa"/>
            <w:left w:w="108" w:type="dxa"/>
            <w:bottom w:w="0" w:type="dxa"/>
            <w:right w:w="108" w:type="dxa"/>
          </w:tblCellMar>
        </w:tblPrEx>
        <w:trPr>
          <w:trHeight w:val="332" w:hRule="atLeast"/>
          <w:jc w:val="center"/>
        </w:trPr>
        <w:tc>
          <w:tcPr>
            <w:tcW w:w="9235"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2.农业土地开发资金收入增加主要是预计土地出让面积增加，计提金额相应增加。</w:t>
            </w:r>
          </w:p>
        </w:tc>
      </w:tr>
      <w:tr>
        <w:tblPrEx>
          <w:tblCellMar>
            <w:top w:w="0" w:type="dxa"/>
            <w:left w:w="108" w:type="dxa"/>
            <w:bottom w:w="0" w:type="dxa"/>
            <w:right w:w="108" w:type="dxa"/>
          </w:tblCellMar>
        </w:tblPrEx>
        <w:trPr>
          <w:trHeight w:val="262" w:hRule="atLeast"/>
          <w:jc w:val="center"/>
        </w:trPr>
        <w:tc>
          <w:tcPr>
            <w:tcW w:w="9235"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3.污水处理费收入减少主要是2022年含以前年度应收未收款。</w:t>
            </w:r>
          </w:p>
        </w:tc>
      </w:tr>
      <w:tr>
        <w:tblPrEx>
          <w:tblCellMar>
            <w:top w:w="0" w:type="dxa"/>
            <w:left w:w="108" w:type="dxa"/>
            <w:bottom w:w="0" w:type="dxa"/>
            <w:right w:w="108" w:type="dxa"/>
          </w:tblCellMar>
        </w:tblPrEx>
        <w:trPr>
          <w:trHeight w:val="262" w:hRule="atLeast"/>
          <w:jc w:val="center"/>
        </w:trPr>
        <w:tc>
          <w:tcPr>
            <w:tcW w:w="9235"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4.其他政府性基金收入增加主要是预计指标调剂款增加。</w:t>
            </w:r>
          </w:p>
        </w:tc>
      </w:tr>
    </w:tbl>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bookmarkStart w:id="13" w:name="RANGE!A1:F66"/>
      <w:r>
        <w:rPr>
          <w:rFonts w:ascii="Times New Roman" w:hAnsi="Times New Roman" w:eastAsia="方正小标宋简体" w:cs="Times New Roman"/>
          <w:color w:val="000000"/>
          <w:kern w:val="0"/>
          <w:sz w:val="44"/>
          <w:szCs w:val="44"/>
        </w:rPr>
        <w:t>2023年政府性基金预算支出预算表</w:t>
      </w:r>
      <w:bookmarkEnd w:id="13"/>
    </w:p>
    <w:p>
      <w:pPr>
        <w:rPr>
          <w:rFonts w:ascii="Times New Roman" w:hAnsi="Times New Roman" w:eastAsia="楷体_GB2312" w:cs="Times New Roman"/>
          <w:color w:val="000000" w:themeColor="text1"/>
          <w:kern w:val="0"/>
          <w:sz w:val="24"/>
          <w:szCs w:val="2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表十九                                                        单位：万元</w:t>
      </w:r>
    </w:p>
    <w:tbl>
      <w:tblPr>
        <w:tblStyle w:val="7"/>
        <w:tblW w:w="904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05"/>
        <w:gridCol w:w="1413"/>
        <w:gridCol w:w="1414"/>
        <w:gridCol w:w="14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blHeader/>
          <w:jc w:val="center"/>
        </w:trPr>
        <w:tc>
          <w:tcPr>
            <w:tcW w:w="4805" w:type="dxa"/>
            <w:vMerge w:val="restart"/>
            <w:shd w:val="clear" w:color="auto" w:fill="auto"/>
            <w:vAlign w:val="center"/>
          </w:tcPr>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1413" w:type="dxa"/>
            <w:vMerge w:val="restart"/>
            <w:shd w:val="clear" w:color="auto" w:fill="auto"/>
            <w:vAlign w:val="center"/>
          </w:tcPr>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执行数</w:t>
            </w:r>
          </w:p>
        </w:tc>
        <w:tc>
          <w:tcPr>
            <w:tcW w:w="1414" w:type="dxa"/>
            <w:vMerge w:val="restart"/>
            <w:shd w:val="clear" w:color="auto" w:fill="auto"/>
            <w:vAlign w:val="center"/>
          </w:tcPr>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2023年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预算数</w:t>
            </w:r>
          </w:p>
        </w:tc>
        <w:tc>
          <w:tcPr>
            <w:tcW w:w="1414" w:type="dxa"/>
            <w:vMerge w:val="restart"/>
            <w:shd w:val="clear" w:color="auto" w:fill="auto"/>
            <w:vAlign w:val="center"/>
          </w:tcPr>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比上年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blHeader/>
          <w:jc w:val="center"/>
        </w:trPr>
        <w:tc>
          <w:tcPr>
            <w:tcW w:w="4805" w:type="dxa"/>
            <w:vMerge w:val="continue"/>
            <w:vAlign w:val="center"/>
          </w:tcPr>
          <w:p>
            <w:pPr>
              <w:widowControl/>
              <w:jc w:val="left"/>
              <w:textAlignment w:val="center"/>
              <w:rPr>
                <w:rFonts w:ascii="Times New Roman" w:hAnsi="Times New Roman" w:eastAsia="黑体" w:cs="Times New Roman"/>
                <w:color w:val="000000"/>
                <w:kern w:val="0"/>
                <w:sz w:val="24"/>
                <w:szCs w:val="24"/>
              </w:rPr>
            </w:pPr>
          </w:p>
        </w:tc>
        <w:tc>
          <w:tcPr>
            <w:tcW w:w="1413" w:type="dxa"/>
            <w:vMerge w:val="continue"/>
            <w:vAlign w:val="center"/>
          </w:tcPr>
          <w:p>
            <w:pPr>
              <w:widowControl/>
              <w:jc w:val="left"/>
              <w:textAlignment w:val="center"/>
              <w:rPr>
                <w:rFonts w:ascii="Times New Roman" w:hAnsi="Times New Roman" w:eastAsia="黑体" w:cs="Times New Roman"/>
                <w:color w:val="000000"/>
                <w:kern w:val="0"/>
                <w:sz w:val="24"/>
                <w:szCs w:val="24"/>
              </w:rPr>
            </w:pPr>
          </w:p>
        </w:tc>
        <w:tc>
          <w:tcPr>
            <w:tcW w:w="1414" w:type="dxa"/>
            <w:vMerge w:val="continue"/>
            <w:vAlign w:val="center"/>
          </w:tcPr>
          <w:p>
            <w:pPr>
              <w:widowControl/>
              <w:jc w:val="left"/>
              <w:textAlignment w:val="center"/>
              <w:rPr>
                <w:rFonts w:ascii="Times New Roman" w:hAnsi="Times New Roman" w:eastAsia="黑体" w:cs="Times New Roman"/>
                <w:color w:val="000000"/>
                <w:kern w:val="0"/>
                <w:sz w:val="24"/>
                <w:szCs w:val="24"/>
              </w:rPr>
            </w:pPr>
          </w:p>
        </w:tc>
        <w:tc>
          <w:tcPr>
            <w:tcW w:w="1414" w:type="dxa"/>
            <w:vMerge w:val="continue"/>
            <w:vAlign w:val="center"/>
          </w:tcPr>
          <w:p>
            <w:pPr>
              <w:widowControl/>
              <w:jc w:val="left"/>
              <w:textAlignment w:val="center"/>
              <w:rPr>
                <w:rFonts w:ascii="Times New Roman" w:hAnsi="Times New Roman" w:eastAsia="黑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jc w:val="lef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605211</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533261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（一）文化旅游体育与传媒支出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国家电影事业发展专项资金安排的支出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其他国家电影事业发展专项资金支出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旅游发展基金支出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地方旅游开发项目补助</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（二）社会保障和就业支出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4325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3955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大中型水库移民后期扶持基金支出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4325</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3639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移民补助</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2059</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2671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基础设施建设和经济发展</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2266</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968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3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小型水库移民扶助基金对应专项债务收入安排的支出</w:t>
            </w:r>
          </w:p>
        </w:tc>
        <w:tc>
          <w:tcPr>
            <w:tcW w:w="1413"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14"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316 </w:t>
            </w:r>
          </w:p>
        </w:tc>
        <w:tc>
          <w:tcPr>
            <w:tcW w:w="1414"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3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其他小型水库移民扶助基金对应专项债务收入安排的支出</w:t>
            </w:r>
          </w:p>
        </w:tc>
        <w:tc>
          <w:tcPr>
            <w:tcW w:w="1413"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14"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316 </w:t>
            </w:r>
          </w:p>
        </w:tc>
        <w:tc>
          <w:tcPr>
            <w:tcW w:w="1414"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（三）城乡社区支出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413606</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473393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国有土地使用权出让收入安排的支出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392133</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447530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征地和拆迁补偿支出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11284</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42000</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土地开发支出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61757</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90000</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城市建设支出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76405</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23908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农村基础设施建设支出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50988</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66094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补助被征地农民支出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161882</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80000</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土地出让业务支出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5682</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6143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廉租住房支出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10000</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棚户区改造支出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14104</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19713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农业生产发展支出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1040</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3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其他国有土地使用权出让收入安排的支出</w:t>
            </w:r>
          </w:p>
        </w:tc>
        <w:tc>
          <w:tcPr>
            <w:tcW w:w="1413"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10031</w:t>
            </w:r>
          </w:p>
        </w:tc>
        <w:tc>
          <w:tcPr>
            <w:tcW w:w="1414"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108632 </w:t>
            </w:r>
          </w:p>
        </w:tc>
        <w:tc>
          <w:tcPr>
            <w:tcW w:w="1414"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国有土地收益基金安排的支出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18476</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21300</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土地开发支出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18476</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21300</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城市基础设施配套费安排的支出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457</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960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其他城市基础设施配套费安排的支出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457</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960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污水处理费安排的支出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2540</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3603</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污水处理设施建设和运营</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2500</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3500</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代征手续费</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（四）农林水支出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大中型水库库区基金安排的支出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基础设施建设和经济发展</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（五）其他支出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172008</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35463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30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其他政府性基金及对应专项债务收入安排的支出</w:t>
            </w:r>
          </w:p>
        </w:tc>
        <w:tc>
          <w:tcPr>
            <w:tcW w:w="1413"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170043</w:t>
            </w:r>
          </w:p>
        </w:tc>
        <w:tc>
          <w:tcPr>
            <w:tcW w:w="1414"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33000 </w:t>
            </w:r>
          </w:p>
        </w:tc>
        <w:tc>
          <w:tcPr>
            <w:tcW w:w="1414"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其他政府性基金安排的支出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22043</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33000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3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其他地方自行试点项目收益专项债券收入安排的支出</w:t>
            </w:r>
          </w:p>
        </w:tc>
        <w:tc>
          <w:tcPr>
            <w:tcW w:w="1413"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148000</w:t>
            </w:r>
          </w:p>
        </w:tc>
        <w:tc>
          <w:tcPr>
            <w:tcW w:w="1414"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14"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4805" w:type="dxa"/>
            <w:shd w:val="clear" w:color="auto" w:fill="auto"/>
            <w:vAlign w:val="center"/>
          </w:tcPr>
          <w:p>
            <w:pPr>
              <w:widowControl/>
              <w:spacing w:line="44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彩票公益金安排的支出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1965</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2463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用于社会福利的彩票公益金支出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1154</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1531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用于体育事业的彩票公益金支出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686</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807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用于残疾人事业的彩票公益金支出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125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用于城乡医疗救助的彩票公益金支出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 xml:space="preserve"> </w:t>
            </w:r>
            <w:r>
              <w:rPr>
                <w:rFonts w:ascii="Times New Roman" w:hAnsi="Times New Roman" w:eastAsia="宋体" w:cs="Times New Roman"/>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4805" w:type="dxa"/>
            <w:shd w:val="clear" w:color="auto" w:fill="auto"/>
            <w:vAlign w:val="center"/>
          </w:tcPr>
          <w:p>
            <w:pPr>
              <w:widowControl/>
              <w:spacing w:line="4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lang w:val="en-US" w:eastAsia="zh-CN"/>
              </w:rPr>
              <w:t>六</w:t>
            </w:r>
            <w:r>
              <w:rPr>
                <w:rFonts w:ascii="Times New Roman" w:hAnsi="Times New Roman" w:eastAsia="宋体" w:cs="Times New Roman"/>
                <w:color w:val="000000"/>
                <w:kern w:val="0"/>
                <w:sz w:val="24"/>
                <w:szCs w:val="24"/>
              </w:rPr>
              <w:t>）债务付息支出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14939</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20200</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4805" w:type="dxa"/>
            <w:shd w:val="clear" w:color="auto" w:fill="auto"/>
            <w:vAlign w:val="center"/>
          </w:tcPr>
          <w:p>
            <w:pPr>
              <w:widowControl/>
              <w:spacing w:line="44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地方政府专项债务付息支出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14939</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20200</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国有土地使用权出让金债务付息支出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11483</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12000</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政府收费公路专项债券付息支出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159</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3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其他地方自行试点项目收益专项债券付息支出</w:t>
            </w:r>
          </w:p>
        </w:tc>
        <w:tc>
          <w:tcPr>
            <w:tcW w:w="1413"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3297</w:t>
            </w:r>
          </w:p>
        </w:tc>
        <w:tc>
          <w:tcPr>
            <w:tcW w:w="1414"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8000</w:t>
            </w:r>
          </w:p>
        </w:tc>
        <w:tc>
          <w:tcPr>
            <w:tcW w:w="1414"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lang w:val="en-US" w:eastAsia="zh-CN"/>
              </w:rPr>
              <w:t>七</w:t>
            </w:r>
            <w:r>
              <w:rPr>
                <w:rFonts w:ascii="Times New Roman" w:hAnsi="Times New Roman" w:eastAsia="宋体" w:cs="Times New Roman"/>
                <w:color w:val="000000"/>
                <w:kern w:val="0"/>
                <w:sz w:val="24"/>
                <w:szCs w:val="24"/>
              </w:rPr>
              <w:t>）债务发行费用支出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171</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480" w:firstLineChars="2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地方政府专项债务发行费用支出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171</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3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国有土地使用权出让金债务发行费用支出</w:t>
            </w:r>
          </w:p>
        </w:tc>
        <w:tc>
          <w:tcPr>
            <w:tcW w:w="1413"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1414"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w:t>
            </w:r>
          </w:p>
        </w:tc>
        <w:tc>
          <w:tcPr>
            <w:tcW w:w="1414"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政府收费公路专项债券发行费用支出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300" w:lineRule="exact"/>
              <w:ind w:firstLine="720" w:firstLineChars="3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其他地方自行试点项目收益专项债券发行费用支出</w:t>
            </w:r>
          </w:p>
        </w:tc>
        <w:tc>
          <w:tcPr>
            <w:tcW w:w="1413"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w:t>
            </w:r>
          </w:p>
        </w:tc>
        <w:tc>
          <w:tcPr>
            <w:tcW w:w="1414"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414" w:type="dxa"/>
            <w:shd w:val="clear" w:color="auto" w:fill="auto"/>
            <w:vAlign w:val="center"/>
          </w:tcPr>
          <w:p>
            <w:pPr>
              <w:widowControl/>
              <w:spacing w:line="3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jc w:val="lef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二、转移性支出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310023</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262901</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（一）调出资金</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230000</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210000</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（二）地方政府专项债务还本支出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57491</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34238</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（三）结转下年支出</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22532</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18663</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05" w:type="dxa"/>
            <w:shd w:val="clear" w:color="auto" w:fill="auto"/>
            <w:vAlign w:val="center"/>
          </w:tcPr>
          <w:p>
            <w:pPr>
              <w:widowControl/>
              <w:spacing w:line="440" w:lineRule="exact"/>
              <w:jc w:val="center"/>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支出合计</w:t>
            </w:r>
          </w:p>
        </w:tc>
        <w:tc>
          <w:tcPr>
            <w:tcW w:w="1413"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915234</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796162 </w:t>
            </w:r>
          </w:p>
        </w:tc>
        <w:tc>
          <w:tcPr>
            <w:tcW w:w="1414" w:type="dxa"/>
            <w:shd w:val="clear" w:color="auto" w:fill="auto"/>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widowControl/>
        <w:spacing w:line="360" w:lineRule="exact"/>
        <w:rPr>
          <w:rFonts w:ascii="Times New Roman" w:hAnsi="Times New Roman" w:cs="Times New Roman"/>
        </w:rPr>
      </w:pPr>
    </w:p>
    <w:tbl>
      <w:tblPr>
        <w:tblStyle w:val="7"/>
        <w:tblW w:w="8895" w:type="dxa"/>
        <w:tblInd w:w="108" w:type="dxa"/>
        <w:tblLayout w:type="fixed"/>
        <w:tblCellMar>
          <w:top w:w="0" w:type="dxa"/>
          <w:left w:w="108" w:type="dxa"/>
          <w:bottom w:w="0" w:type="dxa"/>
          <w:right w:w="108" w:type="dxa"/>
        </w:tblCellMar>
      </w:tblPr>
      <w:tblGrid>
        <w:gridCol w:w="8895"/>
      </w:tblGrid>
      <w:tr>
        <w:tblPrEx>
          <w:tblCellMar>
            <w:top w:w="0" w:type="dxa"/>
            <w:left w:w="108" w:type="dxa"/>
            <w:bottom w:w="0" w:type="dxa"/>
            <w:right w:w="108" w:type="dxa"/>
          </w:tblCellMar>
        </w:tblPrEx>
        <w:trPr>
          <w:trHeight w:val="262" w:hRule="atLeast"/>
        </w:trPr>
        <w:tc>
          <w:tcPr>
            <w:tcW w:w="8895"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sz w:val="22"/>
              </w:rPr>
            </w:pPr>
            <w:r>
              <w:rPr>
                <w:rFonts w:ascii="Times New Roman" w:hAnsi="Times New Roman" w:eastAsia="楷体_GB2312" w:cs="Times New Roman"/>
                <w:sz w:val="22"/>
              </w:rPr>
              <w:t>注：1.城乡社区支出增加主要是收入预计增加，相应安排的支出增加。</w:t>
            </w:r>
          </w:p>
        </w:tc>
      </w:tr>
      <w:tr>
        <w:tblPrEx>
          <w:tblCellMar>
            <w:top w:w="0" w:type="dxa"/>
            <w:left w:w="108" w:type="dxa"/>
            <w:bottom w:w="0" w:type="dxa"/>
            <w:right w:w="108" w:type="dxa"/>
          </w:tblCellMar>
        </w:tblPrEx>
        <w:trPr>
          <w:trHeight w:val="262" w:hRule="atLeast"/>
        </w:trPr>
        <w:tc>
          <w:tcPr>
            <w:tcW w:w="889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2.农林水支出减少主要是上级转移支付资金减少。</w:t>
            </w:r>
          </w:p>
        </w:tc>
      </w:tr>
      <w:tr>
        <w:tblPrEx>
          <w:tblCellMar>
            <w:top w:w="0" w:type="dxa"/>
            <w:left w:w="108" w:type="dxa"/>
            <w:bottom w:w="0" w:type="dxa"/>
            <w:right w:w="108" w:type="dxa"/>
          </w:tblCellMar>
        </w:tblPrEx>
        <w:trPr>
          <w:trHeight w:val="262" w:hRule="atLeast"/>
        </w:trPr>
        <w:tc>
          <w:tcPr>
            <w:tcW w:w="889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3.其他支出减少主要是2022年新增专项债券支出较多。</w:t>
            </w:r>
          </w:p>
        </w:tc>
      </w:tr>
      <w:tr>
        <w:tblPrEx>
          <w:tblCellMar>
            <w:top w:w="0" w:type="dxa"/>
            <w:left w:w="108" w:type="dxa"/>
            <w:bottom w:w="0" w:type="dxa"/>
            <w:right w:w="108" w:type="dxa"/>
          </w:tblCellMar>
        </w:tblPrEx>
        <w:trPr>
          <w:trHeight w:val="262" w:hRule="atLeast"/>
        </w:trPr>
        <w:tc>
          <w:tcPr>
            <w:tcW w:w="8895"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4.债务付息支出增加主要是2022年新增专项债券增加。</w:t>
            </w:r>
          </w:p>
        </w:tc>
      </w:tr>
    </w:tbl>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2023年政府性基金转移支付预算表</w:t>
      </w:r>
    </w:p>
    <w:p>
      <w:pPr>
        <w:rPr>
          <w:rFonts w:ascii="Times New Roman" w:hAnsi="Times New Roman" w:eastAsia="楷体_GB2312" w:cs="Times New Roman"/>
          <w:color w:val="000000" w:themeColor="text1"/>
          <w:kern w:val="0"/>
          <w:sz w:val="24"/>
          <w:szCs w:val="2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表二十                                                        单位：万元</w:t>
      </w:r>
    </w:p>
    <w:tbl>
      <w:tblPr>
        <w:tblStyle w:val="7"/>
        <w:tblW w:w="895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97"/>
        <w:gridCol w:w="2129"/>
        <w:gridCol w:w="21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3" w:hRule="atLeast"/>
          <w:jc w:val="center"/>
        </w:trPr>
        <w:tc>
          <w:tcPr>
            <w:tcW w:w="4697" w:type="dxa"/>
            <w:shd w:val="clear" w:color="auto" w:fill="auto"/>
            <w:noWrap/>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2129" w:type="dxa"/>
            <w:shd w:val="clear" w:color="auto" w:fill="auto"/>
            <w:noWrap/>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2022年执行数</w:t>
            </w:r>
          </w:p>
        </w:tc>
        <w:tc>
          <w:tcPr>
            <w:tcW w:w="2129" w:type="dxa"/>
            <w:shd w:val="clear" w:color="auto" w:fill="auto"/>
            <w:noWrap/>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2023年预算数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3" w:hRule="atLeast"/>
          <w:jc w:val="center"/>
        </w:trPr>
        <w:tc>
          <w:tcPr>
            <w:tcW w:w="4697" w:type="dxa"/>
            <w:shd w:val="clear" w:color="auto" w:fill="auto"/>
            <w:noWrap/>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政府性基金转移支付</w:t>
            </w:r>
          </w:p>
        </w:tc>
        <w:tc>
          <w:tcPr>
            <w:tcW w:w="21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212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rPr>
          <w:rFonts w:ascii="Times New Roman" w:hAnsi="Times New Roman" w:cs="Times New Roman"/>
        </w:rPr>
      </w:pPr>
    </w:p>
    <w:tbl>
      <w:tblPr>
        <w:tblStyle w:val="7"/>
        <w:tblW w:w="8480" w:type="dxa"/>
        <w:tblInd w:w="108" w:type="dxa"/>
        <w:tblLayout w:type="fixed"/>
        <w:tblCellMar>
          <w:top w:w="0" w:type="dxa"/>
          <w:left w:w="108" w:type="dxa"/>
          <w:bottom w:w="0" w:type="dxa"/>
          <w:right w:w="108" w:type="dxa"/>
        </w:tblCellMar>
      </w:tblPr>
      <w:tblGrid>
        <w:gridCol w:w="4448"/>
        <w:gridCol w:w="2016"/>
        <w:gridCol w:w="2016"/>
      </w:tblGrid>
      <w:tr>
        <w:tblPrEx>
          <w:tblCellMar>
            <w:top w:w="0" w:type="dxa"/>
            <w:left w:w="108" w:type="dxa"/>
            <w:bottom w:w="0" w:type="dxa"/>
            <w:right w:w="108" w:type="dxa"/>
          </w:tblCellMar>
        </w:tblPrEx>
        <w:trPr>
          <w:trHeight w:val="270" w:hRule="atLeast"/>
        </w:trPr>
        <w:tc>
          <w:tcPr>
            <w:tcW w:w="4448"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sz w:val="22"/>
              </w:rPr>
            </w:pPr>
            <w:r>
              <w:rPr>
                <w:rFonts w:ascii="Times New Roman" w:hAnsi="Times New Roman" w:eastAsia="楷体_GB2312" w:cs="Times New Roman"/>
                <w:sz w:val="22"/>
              </w:rPr>
              <w:t>注：我市无对下安排的转移支付。</w:t>
            </w:r>
          </w:p>
        </w:tc>
        <w:tc>
          <w:tcPr>
            <w:tcW w:w="2016"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p>
        </w:tc>
        <w:tc>
          <w:tcPr>
            <w:tcW w:w="2016"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p>
        </w:tc>
      </w:tr>
    </w:tbl>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spacing w:line="600" w:lineRule="exact"/>
        <w:jc w:val="center"/>
        <w:rPr>
          <w:rFonts w:hint="default" w:ascii="Times New Roman" w:hAnsi="Times New Roman" w:eastAsia="方正小标宋简体" w:cs="Times New Roman"/>
          <w:color w:val="000000"/>
          <w:kern w:val="0"/>
          <w:sz w:val="44"/>
          <w:szCs w:val="44"/>
          <w:lang w:val="en-US" w:eastAsia="zh-CN"/>
        </w:rPr>
      </w:pPr>
      <w:r>
        <w:rPr>
          <w:rFonts w:hint="eastAsia" w:ascii="Times New Roman" w:hAnsi="Times New Roman" w:eastAsia="方正小标宋简体" w:cs="Times New Roman"/>
          <w:color w:val="000000"/>
          <w:kern w:val="0"/>
          <w:sz w:val="44"/>
          <w:szCs w:val="44"/>
          <w:lang w:val="en-US" w:eastAsia="zh-CN"/>
        </w:rPr>
        <w:t>关于</w:t>
      </w:r>
      <w:r>
        <w:rPr>
          <w:rFonts w:ascii="Times New Roman" w:hAnsi="Times New Roman" w:eastAsia="方正小标宋简体" w:cs="Times New Roman"/>
          <w:color w:val="000000"/>
          <w:kern w:val="0"/>
          <w:sz w:val="44"/>
          <w:szCs w:val="44"/>
        </w:rPr>
        <w:t>2023年政府性基金转移支付预算</w:t>
      </w:r>
      <w:r>
        <w:rPr>
          <w:rFonts w:hint="eastAsia" w:ascii="Times New Roman" w:hAnsi="Times New Roman" w:eastAsia="方正小标宋简体" w:cs="Times New Roman"/>
          <w:color w:val="000000"/>
          <w:kern w:val="0"/>
          <w:sz w:val="44"/>
          <w:szCs w:val="44"/>
          <w:lang w:val="en-US" w:eastAsia="zh-CN"/>
        </w:rPr>
        <w:t>的情况说明</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rPr>
          <w:rFonts w:hint="default" w:ascii="仿宋" w:hAnsi="仿宋" w:eastAsia="仿宋" w:cs="仿宋"/>
          <w:color w:val="000000" w:themeColor="text1"/>
          <w:spacing w:val="-6"/>
          <w:kern w:val="0"/>
          <w:sz w:val="32"/>
          <w:szCs w:val="32"/>
          <w:lang w:val="en-US" w:eastAsia="zh-CN"/>
        </w:rPr>
      </w:pPr>
      <w:r>
        <w:rPr>
          <w:rFonts w:hint="eastAsia" w:ascii="仿宋" w:hAnsi="仿宋" w:eastAsia="仿宋" w:cs="仿宋"/>
          <w:color w:val="000000" w:themeColor="text1"/>
          <w:spacing w:val="-6"/>
          <w:kern w:val="0"/>
          <w:sz w:val="32"/>
          <w:szCs w:val="32"/>
          <w:lang w:val="en-US" w:eastAsia="zh-CN"/>
        </w:rPr>
        <w:t>2022年我市政府性基金转移支付执行算数为0，2023年预算数为0。</w:t>
      </w: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kern w:val="0"/>
          <w:sz w:val="44"/>
          <w:szCs w:val="44"/>
        </w:rPr>
      </w:pPr>
      <w:bookmarkStart w:id="14" w:name="RANGE!A1:D19"/>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ascii="Times New Roman" w:hAnsi="Times New Roman" w:eastAsia="方正小标宋简体" w:cs="Times New Roman"/>
          <w:color w:val="000000"/>
          <w:kern w:val="0"/>
          <w:sz w:val="44"/>
          <w:szCs w:val="44"/>
        </w:rPr>
        <w:t>2023年国有资本经营预算收入预算表</w:t>
      </w:r>
      <w:bookmarkEnd w:id="14"/>
    </w:p>
    <w:p>
      <w:pPr>
        <w:rPr>
          <w:rFonts w:ascii="Times New Roman" w:hAnsi="Times New Roman" w:eastAsia="楷体_GB2312" w:cs="Times New Roman"/>
          <w:color w:val="000000" w:themeColor="text1"/>
          <w:kern w:val="0"/>
          <w:sz w:val="24"/>
          <w:szCs w:val="24"/>
        </w:rPr>
      </w:pPr>
    </w:p>
    <w:p>
      <w:pPr>
        <w:rPr>
          <w:rFonts w:ascii="Times New Roman" w:hAnsi="Times New Roman" w:eastAsia="方正小标宋简体" w:cs="Times New Roman"/>
          <w:color w:val="000000" w:themeColor="text1"/>
          <w:spacing w:val="-6"/>
          <w:kern w:val="0"/>
          <w:sz w:val="44"/>
          <w:szCs w:val="44"/>
        </w:rPr>
      </w:pPr>
      <w:r>
        <w:rPr>
          <w:rFonts w:ascii="Times New Roman" w:hAnsi="Times New Roman" w:eastAsia="楷体_GB2312" w:cs="Times New Roman"/>
          <w:color w:val="000000" w:themeColor="text1"/>
          <w:kern w:val="0"/>
          <w:sz w:val="24"/>
          <w:szCs w:val="24"/>
        </w:rPr>
        <w:t>表二十一                                                      单位：万元</w:t>
      </w:r>
    </w:p>
    <w:tbl>
      <w:tblPr>
        <w:tblStyle w:val="7"/>
        <w:tblW w:w="923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84"/>
        <w:gridCol w:w="1450"/>
        <w:gridCol w:w="1450"/>
        <w:gridCol w:w="14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8" w:hRule="atLeast"/>
          <w:jc w:val="center"/>
        </w:trPr>
        <w:tc>
          <w:tcPr>
            <w:tcW w:w="4884" w:type="dxa"/>
            <w:shd w:val="clear" w:color="auto" w:fill="auto"/>
            <w:noWrap/>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  名  称</w:t>
            </w:r>
          </w:p>
        </w:tc>
        <w:tc>
          <w:tcPr>
            <w:tcW w:w="1450"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执行数</w:t>
            </w:r>
          </w:p>
        </w:tc>
        <w:tc>
          <w:tcPr>
            <w:tcW w:w="1450"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2023年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预算数</w:t>
            </w:r>
          </w:p>
        </w:tc>
        <w:tc>
          <w:tcPr>
            <w:tcW w:w="1450"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比上年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7" w:hRule="atLeast"/>
          <w:jc w:val="center"/>
        </w:trPr>
        <w:tc>
          <w:tcPr>
            <w:tcW w:w="4884" w:type="dxa"/>
            <w:shd w:val="clear" w:color="auto" w:fill="auto"/>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一、本级收入</w:t>
            </w:r>
          </w:p>
        </w:tc>
        <w:tc>
          <w:tcPr>
            <w:tcW w:w="145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45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jc w:val="center"/>
        </w:trPr>
        <w:tc>
          <w:tcPr>
            <w:tcW w:w="4884"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（一）利润收入</w:t>
            </w:r>
          </w:p>
        </w:tc>
        <w:tc>
          <w:tcPr>
            <w:tcW w:w="145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5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jc w:val="center"/>
        </w:trPr>
        <w:tc>
          <w:tcPr>
            <w:tcW w:w="4884"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其他国有资本经营预算企业利润收入</w:t>
            </w:r>
          </w:p>
        </w:tc>
        <w:tc>
          <w:tcPr>
            <w:tcW w:w="145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jc w:val="center"/>
        </w:trPr>
        <w:tc>
          <w:tcPr>
            <w:tcW w:w="4884"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（二）股利、股息收入</w:t>
            </w:r>
          </w:p>
        </w:tc>
        <w:tc>
          <w:tcPr>
            <w:tcW w:w="145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45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8" w:hRule="atLeast"/>
          <w:jc w:val="center"/>
        </w:trPr>
        <w:tc>
          <w:tcPr>
            <w:tcW w:w="4884"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其他国有资本经营预算企业股利、股息收入</w:t>
            </w:r>
          </w:p>
        </w:tc>
        <w:tc>
          <w:tcPr>
            <w:tcW w:w="145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jc w:val="center"/>
        </w:trPr>
        <w:tc>
          <w:tcPr>
            <w:tcW w:w="4884"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（三）产权转让收入</w:t>
            </w:r>
          </w:p>
        </w:tc>
        <w:tc>
          <w:tcPr>
            <w:tcW w:w="145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5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jc w:val="center"/>
        </w:trPr>
        <w:tc>
          <w:tcPr>
            <w:tcW w:w="4884"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其他国有资本经营预算企业产权转让收入</w:t>
            </w:r>
          </w:p>
        </w:tc>
        <w:tc>
          <w:tcPr>
            <w:tcW w:w="145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jc w:val="center"/>
        </w:trPr>
        <w:tc>
          <w:tcPr>
            <w:tcW w:w="4884"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（四）清算收入</w:t>
            </w:r>
          </w:p>
        </w:tc>
        <w:tc>
          <w:tcPr>
            <w:tcW w:w="145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jc w:val="center"/>
        </w:trPr>
        <w:tc>
          <w:tcPr>
            <w:tcW w:w="4884"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其他国有资本经营预算企业清算收入</w:t>
            </w:r>
          </w:p>
        </w:tc>
        <w:tc>
          <w:tcPr>
            <w:tcW w:w="145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jc w:val="center"/>
        </w:trPr>
        <w:tc>
          <w:tcPr>
            <w:tcW w:w="4884"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（五）其他国有资本经营预算收入</w:t>
            </w:r>
          </w:p>
        </w:tc>
        <w:tc>
          <w:tcPr>
            <w:tcW w:w="145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jc w:val="center"/>
        </w:trPr>
        <w:tc>
          <w:tcPr>
            <w:tcW w:w="4884" w:type="dxa"/>
            <w:shd w:val="clear" w:color="auto" w:fill="auto"/>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二、预计转移性收入</w:t>
            </w:r>
          </w:p>
        </w:tc>
        <w:tc>
          <w:tcPr>
            <w:tcW w:w="145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45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jc w:val="center"/>
        </w:trPr>
        <w:tc>
          <w:tcPr>
            <w:tcW w:w="488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（一）上级转移支付收入</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jc w:val="center"/>
        </w:trPr>
        <w:tc>
          <w:tcPr>
            <w:tcW w:w="4884"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（二）使用结转资金</w:t>
            </w:r>
          </w:p>
        </w:tc>
        <w:tc>
          <w:tcPr>
            <w:tcW w:w="145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jc w:val="center"/>
        </w:trPr>
        <w:tc>
          <w:tcPr>
            <w:tcW w:w="4884" w:type="dxa"/>
            <w:shd w:val="clear" w:color="auto" w:fill="auto"/>
            <w:noWrap/>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国有资本经营预算收入合计</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1015</w:t>
            </w:r>
          </w:p>
        </w:tc>
        <w:tc>
          <w:tcPr>
            <w:tcW w:w="145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rPr>
          <w:rFonts w:ascii="Times New Roman" w:hAnsi="Times New Roman" w:cs="Times New Roman"/>
        </w:rPr>
      </w:pPr>
    </w:p>
    <w:tbl>
      <w:tblPr>
        <w:tblStyle w:val="7"/>
        <w:tblW w:w="8970" w:type="dxa"/>
        <w:tblInd w:w="108" w:type="dxa"/>
        <w:tblLayout w:type="fixed"/>
        <w:tblCellMar>
          <w:top w:w="0" w:type="dxa"/>
          <w:left w:w="108" w:type="dxa"/>
          <w:bottom w:w="0" w:type="dxa"/>
          <w:right w:w="108" w:type="dxa"/>
        </w:tblCellMar>
      </w:tblPr>
      <w:tblGrid>
        <w:gridCol w:w="8970"/>
      </w:tblGrid>
      <w:tr>
        <w:tblPrEx>
          <w:tblCellMar>
            <w:top w:w="0" w:type="dxa"/>
            <w:left w:w="108" w:type="dxa"/>
            <w:bottom w:w="0" w:type="dxa"/>
            <w:right w:w="108" w:type="dxa"/>
          </w:tblCellMar>
        </w:tblPrEx>
        <w:trPr>
          <w:trHeight w:val="279" w:hRule="atLeast"/>
        </w:trPr>
        <w:tc>
          <w:tcPr>
            <w:tcW w:w="8970"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sz w:val="22"/>
              </w:rPr>
            </w:pPr>
            <w:r>
              <w:rPr>
                <w:rFonts w:ascii="Times New Roman" w:hAnsi="Times New Roman" w:eastAsia="楷体_GB2312" w:cs="Times New Roman"/>
                <w:sz w:val="22"/>
              </w:rPr>
              <w:t>注：1</w:t>
            </w:r>
            <w:r>
              <w:rPr>
                <w:rFonts w:hint="eastAsia" w:ascii="Times New Roman" w:hAnsi="Times New Roman" w:eastAsia="楷体_GB2312" w:cs="Times New Roman"/>
                <w:sz w:val="22"/>
              </w:rPr>
              <w:t>.</w:t>
            </w:r>
            <w:r>
              <w:rPr>
                <w:rFonts w:ascii="Times New Roman" w:hAnsi="Times New Roman" w:eastAsia="楷体_GB2312" w:cs="Times New Roman"/>
                <w:sz w:val="22"/>
              </w:rPr>
              <w:t>股利、股息收入增加的主要原因是预计分红收入增加。</w:t>
            </w:r>
          </w:p>
        </w:tc>
      </w:tr>
      <w:tr>
        <w:tblPrEx>
          <w:tblCellMar>
            <w:top w:w="0" w:type="dxa"/>
            <w:left w:w="108" w:type="dxa"/>
            <w:bottom w:w="0" w:type="dxa"/>
            <w:right w:w="108" w:type="dxa"/>
          </w:tblCellMar>
        </w:tblPrEx>
        <w:trPr>
          <w:trHeight w:val="279" w:hRule="atLeast"/>
        </w:trPr>
        <w:tc>
          <w:tcPr>
            <w:tcW w:w="8970"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2</w:t>
            </w:r>
            <w:r>
              <w:rPr>
                <w:rFonts w:hint="eastAsia" w:ascii="Times New Roman" w:hAnsi="Times New Roman" w:eastAsia="楷体_GB2312" w:cs="Times New Roman"/>
                <w:sz w:val="22"/>
              </w:rPr>
              <w:t>.</w:t>
            </w:r>
            <w:r>
              <w:rPr>
                <w:rFonts w:ascii="Times New Roman" w:hAnsi="Times New Roman" w:eastAsia="楷体_GB2312" w:cs="Times New Roman"/>
                <w:sz w:val="22"/>
              </w:rPr>
              <w:t>产权转让收入预计有上市公司股权发生转让。</w:t>
            </w:r>
          </w:p>
        </w:tc>
      </w:tr>
    </w:tbl>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kern w:val="0"/>
          <w:sz w:val="44"/>
          <w:szCs w:val="44"/>
        </w:rPr>
      </w:pPr>
      <w:bookmarkStart w:id="15" w:name="RANGE!A1:D18"/>
      <w:r>
        <w:rPr>
          <w:rFonts w:ascii="Times New Roman" w:hAnsi="Times New Roman" w:eastAsia="方正小标宋简体" w:cs="Times New Roman"/>
          <w:color w:val="000000"/>
          <w:kern w:val="0"/>
          <w:sz w:val="44"/>
          <w:szCs w:val="44"/>
        </w:rPr>
        <w:t>2023年国有资本经营预算支出预算表</w:t>
      </w:r>
      <w:bookmarkEnd w:id="15"/>
    </w:p>
    <w:p>
      <w:pPr>
        <w:rPr>
          <w:rFonts w:ascii="Times New Roman" w:hAnsi="Times New Roman" w:eastAsia="楷体_GB2312" w:cs="Times New Roman"/>
          <w:color w:val="000000" w:themeColor="text1"/>
          <w:kern w:val="0"/>
          <w:sz w:val="24"/>
          <w:szCs w:val="24"/>
        </w:rPr>
      </w:pPr>
    </w:p>
    <w:p>
      <w:pPr>
        <w:rPr>
          <w:rFonts w:ascii="Times New Roman" w:hAnsi="Times New Roman" w:eastAsia="方正小标宋简体" w:cs="Times New Roman"/>
          <w:color w:val="000000"/>
          <w:kern w:val="0"/>
          <w:sz w:val="44"/>
          <w:szCs w:val="44"/>
        </w:rPr>
      </w:pPr>
      <w:r>
        <w:rPr>
          <w:rFonts w:ascii="Times New Roman" w:hAnsi="Times New Roman" w:eastAsia="楷体_GB2312" w:cs="Times New Roman"/>
          <w:color w:val="000000" w:themeColor="text1"/>
          <w:kern w:val="0"/>
          <w:sz w:val="24"/>
          <w:szCs w:val="24"/>
        </w:rPr>
        <w:t>表二十二                                                      单位：万元</w:t>
      </w:r>
    </w:p>
    <w:tbl>
      <w:tblPr>
        <w:tblStyle w:val="7"/>
        <w:tblW w:w="89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01"/>
        <w:gridCol w:w="1333"/>
        <w:gridCol w:w="1333"/>
        <w:gridCol w:w="13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4901" w:type="dxa"/>
            <w:shd w:val="clear" w:color="auto" w:fill="auto"/>
            <w:noWrap/>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  名  称</w:t>
            </w:r>
          </w:p>
        </w:tc>
        <w:tc>
          <w:tcPr>
            <w:tcW w:w="1333"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执行数</w:t>
            </w:r>
          </w:p>
        </w:tc>
        <w:tc>
          <w:tcPr>
            <w:tcW w:w="1333"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2023年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预算数</w:t>
            </w:r>
          </w:p>
        </w:tc>
        <w:tc>
          <w:tcPr>
            <w:tcW w:w="1334"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比上年</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4901" w:type="dxa"/>
            <w:shd w:val="clear" w:color="auto" w:fill="auto"/>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一、本级支出</w:t>
            </w:r>
          </w:p>
        </w:tc>
        <w:tc>
          <w:tcPr>
            <w:tcW w:w="13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3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1015</w:t>
            </w:r>
          </w:p>
        </w:tc>
        <w:tc>
          <w:tcPr>
            <w:tcW w:w="133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3283.3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4901"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（一）解决历史遗留问题及改革成本支出</w:t>
            </w:r>
          </w:p>
        </w:tc>
        <w:tc>
          <w:tcPr>
            <w:tcW w:w="133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33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33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4901"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国有企业退休人员社会化管理补助支出</w:t>
            </w:r>
          </w:p>
        </w:tc>
        <w:tc>
          <w:tcPr>
            <w:tcW w:w="133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3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33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4901"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（二）国有企业资本金注入</w:t>
            </w:r>
          </w:p>
        </w:tc>
        <w:tc>
          <w:tcPr>
            <w:tcW w:w="133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w:t>
            </w:r>
          </w:p>
        </w:tc>
        <w:tc>
          <w:tcPr>
            <w:tcW w:w="133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4901"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其他国有企业资本金注入</w:t>
            </w:r>
          </w:p>
        </w:tc>
        <w:tc>
          <w:tcPr>
            <w:tcW w:w="133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w:t>
            </w:r>
          </w:p>
        </w:tc>
        <w:tc>
          <w:tcPr>
            <w:tcW w:w="133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4901"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（三）其他国有资本经营预算支出</w:t>
            </w:r>
          </w:p>
        </w:tc>
        <w:tc>
          <w:tcPr>
            <w:tcW w:w="133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3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4901"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其他国有资本经营预算支出</w:t>
            </w:r>
          </w:p>
        </w:tc>
        <w:tc>
          <w:tcPr>
            <w:tcW w:w="133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3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4901" w:type="dxa"/>
            <w:shd w:val="clear" w:color="auto" w:fill="auto"/>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二、转移性支出</w:t>
            </w:r>
          </w:p>
        </w:tc>
        <w:tc>
          <w:tcPr>
            <w:tcW w:w="13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val="en-US" w:eastAsia="zh-CN"/>
              </w:rPr>
              <w:t>9</w:t>
            </w:r>
            <w:r>
              <w:rPr>
                <w:rFonts w:ascii="Times New Roman" w:hAnsi="Times New Roman" w:eastAsia="宋体" w:cs="Times New Roman"/>
                <w:color w:val="000000"/>
                <w:kern w:val="0"/>
                <w:sz w:val="24"/>
                <w:szCs w:val="24"/>
              </w:rPr>
              <w:t>0</w:t>
            </w:r>
          </w:p>
        </w:tc>
        <w:tc>
          <w:tcPr>
            <w:tcW w:w="13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334"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4901"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（一）调出资金</w:t>
            </w:r>
          </w:p>
        </w:tc>
        <w:tc>
          <w:tcPr>
            <w:tcW w:w="13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val="en-US" w:eastAsia="zh-CN"/>
              </w:rPr>
              <w:t>9</w:t>
            </w:r>
            <w:r>
              <w:rPr>
                <w:rFonts w:ascii="Times New Roman" w:hAnsi="Times New Roman" w:eastAsia="宋体" w:cs="Times New Roman"/>
                <w:color w:val="000000"/>
                <w:kern w:val="0"/>
                <w:sz w:val="24"/>
                <w:szCs w:val="24"/>
              </w:rPr>
              <w:t>0</w:t>
            </w:r>
          </w:p>
        </w:tc>
        <w:tc>
          <w:tcPr>
            <w:tcW w:w="13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334"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4901"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国有资本经营预算调出资金</w:t>
            </w:r>
          </w:p>
        </w:tc>
        <w:tc>
          <w:tcPr>
            <w:tcW w:w="1333" w:type="dxa"/>
            <w:shd w:val="clear" w:color="auto" w:fill="auto"/>
            <w:noWrap/>
            <w:vAlign w:val="center"/>
          </w:tcPr>
          <w:p>
            <w:pPr>
              <w:widowControl/>
              <w:jc w:val="center"/>
              <w:rPr>
                <w:rFonts w:hint="default" w:ascii="Times New Roman" w:hAnsi="Times New Roman" w:eastAsia="宋体" w:cs="Times New Roman"/>
                <w:color w:val="000000"/>
                <w:kern w:val="0"/>
                <w:sz w:val="24"/>
                <w:szCs w:val="24"/>
                <w:lang w:val="en-US" w:eastAsia="zh-CN"/>
              </w:rPr>
            </w:pPr>
            <w:r>
              <w:rPr>
                <w:rFonts w:hint="eastAsia" w:ascii="Times New Roman" w:hAnsi="Times New Roman" w:eastAsia="宋体" w:cs="Times New Roman"/>
                <w:color w:val="000000"/>
                <w:kern w:val="0"/>
                <w:sz w:val="24"/>
                <w:szCs w:val="24"/>
                <w:lang w:val="en-US" w:eastAsia="zh-CN"/>
              </w:rPr>
              <w:t>90</w:t>
            </w:r>
          </w:p>
        </w:tc>
        <w:tc>
          <w:tcPr>
            <w:tcW w:w="13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34"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4901"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（二）结转下年支出</w:t>
            </w:r>
          </w:p>
        </w:tc>
        <w:tc>
          <w:tcPr>
            <w:tcW w:w="13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34"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4901" w:type="dxa"/>
            <w:shd w:val="clear" w:color="auto" w:fill="auto"/>
            <w:noWrap/>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国有资本经营预算支出合计</w:t>
            </w:r>
          </w:p>
        </w:tc>
        <w:tc>
          <w:tcPr>
            <w:tcW w:w="13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val="en-US" w:eastAsia="zh-CN"/>
              </w:rPr>
              <w:t>12</w:t>
            </w:r>
            <w:r>
              <w:rPr>
                <w:rFonts w:ascii="Times New Roman" w:hAnsi="Times New Roman" w:eastAsia="宋体" w:cs="Times New Roman"/>
                <w:color w:val="000000"/>
                <w:kern w:val="0"/>
                <w:sz w:val="24"/>
                <w:szCs w:val="24"/>
              </w:rPr>
              <w:t>0</w:t>
            </w:r>
          </w:p>
        </w:tc>
        <w:tc>
          <w:tcPr>
            <w:tcW w:w="1333"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1015</w:t>
            </w:r>
          </w:p>
        </w:tc>
        <w:tc>
          <w:tcPr>
            <w:tcW w:w="1334"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r>
    </w:tbl>
    <w:p>
      <w:pPr>
        <w:rPr>
          <w:rFonts w:ascii="Times New Roman" w:hAnsi="Times New Roman" w:cs="Times New Roman"/>
        </w:rPr>
      </w:pPr>
    </w:p>
    <w:tbl>
      <w:tblPr>
        <w:tblStyle w:val="7"/>
        <w:tblW w:w="8970" w:type="dxa"/>
        <w:jc w:val="center"/>
        <w:tblLayout w:type="fixed"/>
        <w:tblCellMar>
          <w:top w:w="0" w:type="dxa"/>
          <w:left w:w="108" w:type="dxa"/>
          <w:bottom w:w="0" w:type="dxa"/>
          <w:right w:w="108" w:type="dxa"/>
        </w:tblCellMar>
      </w:tblPr>
      <w:tblGrid>
        <w:gridCol w:w="8970"/>
      </w:tblGrid>
      <w:tr>
        <w:tblPrEx>
          <w:tblCellMar>
            <w:top w:w="0" w:type="dxa"/>
            <w:left w:w="108" w:type="dxa"/>
            <w:bottom w:w="0" w:type="dxa"/>
            <w:right w:w="108" w:type="dxa"/>
          </w:tblCellMar>
        </w:tblPrEx>
        <w:trPr>
          <w:trHeight w:val="288" w:hRule="atLeast"/>
          <w:jc w:val="center"/>
        </w:trPr>
        <w:tc>
          <w:tcPr>
            <w:tcW w:w="8970"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sz w:val="22"/>
              </w:rPr>
            </w:pPr>
            <w:r>
              <w:rPr>
                <w:rFonts w:ascii="Times New Roman" w:hAnsi="Times New Roman" w:eastAsia="楷体_GB2312" w:cs="Times New Roman"/>
                <w:sz w:val="22"/>
              </w:rPr>
              <w:t>注：1</w:t>
            </w:r>
            <w:r>
              <w:rPr>
                <w:rFonts w:hint="eastAsia" w:ascii="Times New Roman" w:hAnsi="Times New Roman" w:eastAsia="楷体_GB2312" w:cs="Times New Roman"/>
                <w:sz w:val="22"/>
              </w:rPr>
              <w:t>.</w:t>
            </w:r>
            <w:r>
              <w:rPr>
                <w:rFonts w:ascii="Times New Roman" w:hAnsi="Times New Roman" w:eastAsia="楷体_GB2312" w:cs="Times New Roman"/>
                <w:sz w:val="22"/>
              </w:rPr>
              <w:t>解决历史遗留问题及改革成本支出减少主要是职教幼教退休人员人数减少。</w:t>
            </w:r>
          </w:p>
        </w:tc>
      </w:tr>
      <w:tr>
        <w:tblPrEx>
          <w:tblCellMar>
            <w:top w:w="0" w:type="dxa"/>
            <w:left w:w="108" w:type="dxa"/>
            <w:bottom w:w="0" w:type="dxa"/>
            <w:right w:w="108" w:type="dxa"/>
          </w:tblCellMar>
        </w:tblPrEx>
        <w:trPr>
          <w:trHeight w:val="288" w:hRule="atLeast"/>
          <w:jc w:val="center"/>
        </w:trPr>
        <w:tc>
          <w:tcPr>
            <w:tcW w:w="8970"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2</w:t>
            </w:r>
            <w:r>
              <w:rPr>
                <w:rFonts w:hint="eastAsia" w:ascii="Times New Roman" w:hAnsi="Times New Roman" w:eastAsia="楷体_GB2312" w:cs="Times New Roman"/>
                <w:sz w:val="22"/>
              </w:rPr>
              <w:t>.</w:t>
            </w:r>
            <w:r>
              <w:rPr>
                <w:rFonts w:ascii="Times New Roman" w:hAnsi="Times New Roman" w:eastAsia="楷体_GB2312" w:cs="Times New Roman"/>
                <w:sz w:val="22"/>
              </w:rPr>
              <w:t>国有企业资本金注入支出增加主要是预计有新增国有企业的注册资本。</w:t>
            </w:r>
          </w:p>
        </w:tc>
      </w:tr>
    </w:tbl>
    <w:p>
      <w:pPr>
        <w:widowControl/>
        <w:ind w:firstLine="440" w:firstLineChars="200"/>
        <w:jc w:val="left"/>
        <w:rPr>
          <w:rFonts w:ascii="Times New Roman" w:hAnsi="Times New Roman" w:eastAsia="楷体_GB2312" w:cs="Times New Roman"/>
          <w:sz w:val="22"/>
        </w:rPr>
      </w:pPr>
    </w:p>
    <w:p>
      <w:pPr>
        <w:spacing w:line="600" w:lineRule="exact"/>
        <w:jc w:val="both"/>
        <w:rPr>
          <w:rFonts w:ascii="Times New Roman" w:hAnsi="Times New Roman" w:eastAsia="方正小标宋简体" w:cs="Times New Roman"/>
          <w:color w:val="000000" w:themeColor="text1"/>
          <w:spacing w:val="-6"/>
          <w:kern w:val="0"/>
          <w:sz w:val="44"/>
          <w:szCs w:val="44"/>
        </w:rPr>
      </w:pPr>
    </w:p>
    <w:p>
      <w:pPr>
        <w:spacing w:line="600" w:lineRule="exact"/>
        <w:jc w:val="both"/>
        <w:rPr>
          <w:rFonts w:ascii="Times New Roman" w:hAnsi="Times New Roman" w:eastAsia="方正小标宋简体" w:cs="Times New Roman"/>
          <w:color w:val="000000" w:themeColor="text1"/>
          <w:spacing w:val="-6"/>
          <w:kern w:val="0"/>
          <w:sz w:val="44"/>
          <w:szCs w:val="44"/>
        </w:rPr>
      </w:pPr>
    </w:p>
    <w:p>
      <w:pPr>
        <w:spacing w:line="600" w:lineRule="exact"/>
        <w:jc w:val="both"/>
        <w:rPr>
          <w:rFonts w:ascii="Times New Roman" w:hAnsi="Times New Roman" w:eastAsia="方正小标宋简体" w:cs="Times New Roman"/>
          <w:color w:val="000000" w:themeColor="text1"/>
          <w:spacing w:val="-6"/>
          <w:kern w:val="0"/>
          <w:sz w:val="44"/>
          <w:szCs w:val="44"/>
        </w:rPr>
      </w:pPr>
    </w:p>
    <w:p>
      <w:pPr>
        <w:spacing w:line="600" w:lineRule="exact"/>
        <w:jc w:val="both"/>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ascii="Times New Roman" w:hAnsi="Times New Roman" w:eastAsia="方正小标宋简体" w:cs="Times New Roman"/>
          <w:color w:val="000000"/>
          <w:kern w:val="0"/>
          <w:sz w:val="44"/>
          <w:szCs w:val="44"/>
        </w:rPr>
        <w:t>2023年社会保险基金预算收入预算表</w:t>
      </w:r>
    </w:p>
    <w:p>
      <w:pPr>
        <w:rPr>
          <w:rFonts w:ascii="Times New Roman" w:hAnsi="Times New Roman" w:eastAsia="楷体_GB2312" w:cs="Times New Roman"/>
          <w:color w:val="000000" w:themeColor="text1"/>
          <w:kern w:val="0"/>
          <w:sz w:val="24"/>
          <w:szCs w:val="2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表二十三                                                      单位：万元</w:t>
      </w:r>
    </w:p>
    <w:tbl>
      <w:tblPr>
        <w:tblStyle w:val="7"/>
        <w:tblW w:w="89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23"/>
        <w:gridCol w:w="1226"/>
        <w:gridCol w:w="936"/>
        <w:gridCol w:w="13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atLeast"/>
          <w:jc w:val="center"/>
        </w:trPr>
        <w:tc>
          <w:tcPr>
            <w:tcW w:w="5423" w:type="dxa"/>
            <w:shd w:val="clear" w:color="auto" w:fill="auto"/>
            <w:vAlign w:val="center"/>
          </w:tcPr>
          <w:p>
            <w:pPr>
              <w:widowControl/>
              <w:jc w:val="center"/>
              <w:rPr>
                <w:rFonts w:ascii="黑体" w:hAnsi="黑体" w:eastAsia="黑体" w:cs="Times New Roman"/>
                <w:kern w:val="0"/>
                <w:sz w:val="24"/>
                <w:szCs w:val="24"/>
              </w:rPr>
            </w:pPr>
            <w:r>
              <w:rPr>
                <w:rFonts w:ascii="黑体" w:hAnsi="黑体" w:eastAsia="黑体" w:cs="Times New Roman"/>
                <w:kern w:val="0"/>
                <w:sz w:val="24"/>
                <w:szCs w:val="24"/>
              </w:rPr>
              <w:t>项</w:t>
            </w:r>
            <w:r>
              <w:rPr>
                <w:rFonts w:hint="eastAsia" w:ascii="黑体" w:hAnsi="黑体" w:eastAsia="黑体" w:cs="Times New Roman"/>
                <w:kern w:val="0"/>
                <w:sz w:val="24"/>
                <w:szCs w:val="24"/>
              </w:rPr>
              <w:t xml:space="preserve">     </w:t>
            </w:r>
            <w:r>
              <w:rPr>
                <w:rFonts w:ascii="黑体" w:hAnsi="黑体" w:eastAsia="黑体" w:cs="Times New Roman"/>
                <w:kern w:val="0"/>
                <w:sz w:val="24"/>
                <w:szCs w:val="24"/>
              </w:rPr>
              <w:t>目</w:t>
            </w:r>
          </w:p>
        </w:tc>
        <w:tc>
          <w:tcPr>
            <w:tcW w:w="1226" w:type="dxa"/>
            <w:shd w:val="clear" w:color="auto" w:fill="auto"/>
            <w:vAlign w:val="center"/>
          </w:tcPr>
          <w:p>
            <w:pPr>
              <w:widowControl/>
              <w:jc w:val="center"/>
              <w:rPr>
                <w:rFonts w:ascii="黑体" w:hAnsi="黑体" w:eastAsia="黑体" w:cs="Times New Roman"/>
                <w:kern w:val="0"/>
                <w:sz w:val="24"/>
                <w:szCs w:val="24"/>
              </w:rPr>
            </w:pPr>
            <w:r>
              <w:rPr>
                <w:rFonts w:ascii="黑体" w:hAnsi="黑体" w:eastAsia="黑体" w:cs="Times New Roman"/>
                <w:kern w:val="0"/>
                <w:sz w:val="24"/>
                <w:szCs w:val="24"/>
              </w:rPr>
              <w:t>2023年</w:t>
            </w:r>
            <w:r>
              <w:rPr>
                <w:rFonts w:ascii="黑体" w:hAnsi="黑体" w:eastAsia="黑体" w:cs="Times New Roman"/>
                <w:kern w:val="0"/>
                <w:sz w:val="24"/>
                <w:szCs w:val="24"/>
              </w:rPr>
              <w:br w:type="textWrapping"/>
            </w:r>
            <w:r>
              <w:rPr>
                <w:rFonts w:ascii="黑体" w:hAnsi="黑体" w:eastAsia="黑体" w:cs="Times New Roman"/>
                <w:kern w:val="0"/>
                <w:sz w:val="24"/>
                <w:szCs w:val="24"/>
              </w:rPr>
              <w:t>预算数</w:t>
            </w:r>
          </w:p>
        </w:tc>
        <w:tc>
          <w:tcPr>
            <w:tcW w:w="936" w:type="dxa"/>
            <w:shd w:val="clear" w:color="auto" w:fill="auto"/>
            <w:vAlign w:val="center"/>
          </w:tcPr>
          <w:p>
            <w:pPr>
              <w:widowControl/>
              <w:jc w:val="center"/>
              <w:rPr>
                <w:rFonts w:ascii="黑体" w:hAnsi="黑体" w:eastAsia="黑体" w:cs="Times New Roman"/>
                <w:kern w:val="0"/>
                <w:sz w:val="22"/>
              </w:rPr>
            </w:pPr>
            <w:r>
              <w:rPr>
                <w:rFonts w:ascii="黑体" w:hAnsi="黑体" w:eastAsia="黑体" w:cs="Times New Roman"/>
                <w:kern w:val="0"/>
                <w:sz w:val="22"/>
              </w:rPr>
              <w:t>2022年</w:t>
            </w:r>
            <w:r>
              <w:rPr>
                <w:rFonts w:ascii="黑体" w:hAnsi="黑体" w:eastAsia="黑体" w:cs="Times New Roman"/>
                <w:kern w:val="0"/>
                <w:sz w:val="22"/>
              </w:rPr>
              <w:br w:type="textWrapping"/>
            </w:r>
            <w:r>
              <w:rPr>
                <w:rFonts w:ascii="黑体" w:hAnsi="黑体" w:eastAsia="黑体" w:cs="Times New Roman"/>
                <w:kern w:val="0"/>
                <w:sz w:val="22"/>
              </w:rPr>
              <w:t>执行数</w:t>
            </w:r>
          </w:p>
        </w:tc>
        <w:tc>
          <w:tcPr>
            <w:tcW w:w="1332" w:type="dxa"/>
            <w:shd w:val="clear" w:color="auto" w:fill="auto"/>
            <w:vAlign w:val="center"/>
          </w:tcPr>
          <w:p>
            <w:pPr>
              <w:widowControl/>
              <w:jc w:val="center"/>
              <w:rPr>
                <w:rFonts w:ascii="黑体" w:hAnsi="黑体" w:eastAsia="黑体" w:cs="Times New Roman"/>
                <w:kern w:val="0"/>
                <w:sz w:val="24"/>
                <w:szCs w:val="24"/>
              </w:rPr>
            </w:pPr>
            <w:r>
              <w:rPr>
                <w:rFonts w:ascii="黑体" w:hAnsi="黑体" w:eastAsia="黑体" w:cs="Times New Roman"/>
                <w:kern w:val="0"/>
                <w:sz w:val="24"/>
                <w:szCs w:val="24"/>
              </w:rPr>
              <w:t>比上年</w:t>
            </w:r>
            <w:r>
              <w:rPr>
                <w:rFonts w:ascii="黑体" w:hAnsi="黑体" w:eastAsia="黑体" w:cs="Times New Roman"/>
                <w:kern w:val="0"/>
                <w:sz w:val="24"/>
                <w:szCs w:val="24"/>
              </w:rPr>
              <w:br w:type="textWrapping"/>
            </w:r>
            <w:r>
              <w:rPr>
                <w:rFonts w:ascii="黑体" w:hAnsi="黑体" w:eastAsia="黑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社会保险基金收入合计</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168687</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165494</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68725</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75031</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财政补贴收入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96522</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85840</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1556</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1385</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12.3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上级补助收入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961</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-88.9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其他社会保险基金收入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1777</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2277</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（一）城乡居民基本养老保险基金收入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79994</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77879</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29080</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35507</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财政补贴收入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49474</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41927</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其他居民基本养老保险基金收入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1440</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445</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223.6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（二）机关事业单位基本养老保险基金收入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73038</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74127</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29713</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29561</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财政补贴收入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41629</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41534</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1549</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1380</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其他基本养老保险基金收入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1652</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-91.1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（三）工伤保险基金收入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9898</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7072</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4332</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4520</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财政补贴收入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5419</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2379</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127.8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上级补助收入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其他工伤保险基金收入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（四）失业保险基金收入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5757</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6416</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其中:保险费收入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5600</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5443</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上级补助收入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827</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eastAsia="zh-CN"/>
              </w:rPr>
              <w:t xml:space="preserve"> </w:t>
            </w:r>
            <w:r>
              <w:rPr>
                <w:rFonts w:ascii="Times New Roman" w:hAnsi="Times New Roman" w:eastAsia="宋体" w:cs="Times New Roman"/>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5423"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其他失业保险基金收入</w:t>
            </w:r>
          </w:p>
        </w:tc>
        <w:tc>
          <w:tcPr>
            <w:tcW w:w="12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w:t>
            </w:r>
          </w:p>
        </w:tc>
        <w:tc>
          <w:tcPr>
            <w:tcW w:w="93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w:t>
            </w:r>
          </w:p>
        </w:tc>
        <w:tc>
          <w:tcPr>
            <w:tcW w:w="1332"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6.4 </w:t>
            </w:r>
          </w:p>
        </w:tc>
      </w:tr>
    </w:tbl>
    <w:p>
      <w:pPr>
        <w:rPr>
          <w:rFonts w:ascii="Times New Roman" w:hAnsi="Times New Roman" w:cs="Times New Roman"/>
        </w:rPr>
      </w:pPr>
    </w:p>
    <w:tbl>
      <w:tblPr>
        <w:tblStyle w:val="7"/>
        <w:tblW w:w="8737" w:type="dxa"/>
        <w:tblInd w:w="108" w:type="dxa"/>
        <w:tblLayout w:type="fixed"/>
        <w:tblCellMar>
          <w:top w:w="0" w:type="dxa"/>
          <w:left w:w="108" w:type="dxa"/>
          <w:bottom w:w="0" w:type="dxa"/>
          <w:right w:w="108" w:type="dxa"/>
        </w:tblCellMar>
      </w:tblPr>
      <w:tblGrid>
        <w:gridCol w:w="8737"/>
      </w:tblGrid>
      <w:tr>
        <w:tblPrEx>
          <w:tblCellMar>
            <w:top w:w="0" w:type="dxa"/>
            <w:left w:w="108" w:type="dxa"/>
            <w:bottom w:w="0" w:type="dxa"/>
            <w:right w:w="108" w:type="dxa"/>
          </w:tblCellMar>
        </w:tblPrEx>
        <w:trPr>
          <w:trHeight w:val="352" w:hRule="atLeast"/>
        </w:trPr>
        <w:tc>
          <w:tcPr>
            <w:tcW w:w="8737"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sz w:val="22"/>
              </w:rPr>
            </w:pPr>
            <w:r>
              <w:rPr>
                <w:rFonts w:ascii="Times New Roman" w:hAnsi="Times New Roman" w:eastAsia="楷体_GB2312" w:cs="Times New Roman"/>
                <w:sz w:val="22"/>
              </w:rPr>
              <w:t>注：1.机关事业单位基本养老保险基金收入减少主要是2022年有清算收入1512万元</w:t>
            </w:r>
          </w:p>
        </w:tc>
      </w:tr>
      <w:tr>
        <w:tblPrEx>
          <w:tblCellMar>
            <w:top w:w="0" w:type="dxa"/>
            <w:left w:w="108" w:type="dxa"/>
            <w:bottom w:w="0" w:type="dxa"/>
            <w:right w:w="108" w:type="dxa"/>
          </w:tblCellMar>
        </w:tblPrEx>
        <w:trPr>
          <w:trHeight w:val="352" w:hRule="atLeast"/>
        </w:trPr>
        <w:tc>
          <w:tcPr>
            <w:tcW w:w="8737"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2.工伤保险基金收入增加主要是财政补贴收入增加</w:t>
            </w:r>
          </w:p>
        </w:tc>
      </w:tr>
      <w:tr>
        <w:tblPrEx>
          <w:tblCellMar>
            <w:top w:w="0" w:type="dxa"/>
            <w:left w:w="108" w:type="dxa"/>
            <w:bottom w:w="0" w:type="dxa"/>
            <w:right w:w="108" w:type="dxa"/>
          </w:tblCellMar>
        </w:tblPrEx>
        <w:trPr>
          <w:trHeight w:val="352" w:hRule="atLeast"/>
        </w:trPr>
        <w:tc>
          <w:tcPr>
            <w:tcW w:w="873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3.失业保险基金收入减少主要是上级补助收入减少</w:t>
            </w:r>
          </w:p>
        </w:tc>
      </w:tr>
    </w:tbl>
    <w:p>
      <w:pPr>
        <w:spacing w:line="600" w:lineRule="exact"/>
        <w:jc w:val="center"/>
        <w:rPr>
          <w:rFonts w:ascii="Times New Roman" w:hAnsi="Times New Roman" w:eastAsia="方正小标宋简体" w:cs="Times New Roman"/>
          <w:color w:val="000000"/>
          <w:kern w:val="0"/>
          <w:sz w:val="44"/>
          <w:szCs w:val="44"/>
        </w:rPr>
      </w:pPr>
      <w:bookmarkStart w:id="16" w:name="RANGE!A1:D28"/>
      <w:r>
        <w:rPr>
          <w:rFonts w:ascii="Times New Roman" w:hAnsi="Times New Roman" w:eastAsia="方正小标宋简体" w:cs="Times New Roman"/>
          <w:color w:val="000000"/>
          <w:kern w:val="0"/>
          <w:sz w:val="44"/>
          <w:szCs w:val="44"/>
        </w:rPr>
        <w:t>2023年社会保险基金预算支出预算表</w:t>
      </w:r>
      <w:bookmarkEnd w:id="16"/>
    </w:p>
    <w:p>
      <w:pPr>
        <w:rPr>
          <w:rFonts w:ascii="Times New Roman" w:hAnsi="Times New Roman" w:eastAsia="楷体_GB2312" w:cs="Times New Roman"/>
          <w:color w:val="000000" w:themeColor="text1"/>
          <w:kern w:val="0"/>
          <w:sz w:val="24"/>
          <w:szCs w:val="2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表二十四                                                      单位：万元</w:t>
      </w:r>
    </w:p>
    <w:tbl>
      <w:tblPr>
        <w:tblStyle w:val="7"/>
        <w:tblW w:w="88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00"/>
        <w:gridCol w:w="1179"/>
        <w:gridCol w:w="1382"/>
        <w:gridCol w:w="9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5300" w:type="dxa"/>
            <w:shd w:val="clear" w:color="auto" w:fill="auto"/>
            <w:vAlign w:val="center"/>
          </w:tcPr>
          <w:p>
            <w:pPr>
              <w:widowControl/>
              <w:jc w:val="center"/>
              <w:rPr>
                <w:rFonts w:ascii="黑体" w:hAnsi="黑体" w:eastAsia="黑体" w:cs="Times New Roman"/>
                <w:kern w:val="0"/>
                <w:sz w:val="24"/>
                <w:szCs w:val="24"/>
              </w:rPr>
            </w:pPr>
            <w:r>
              <w:rPr>
                <w:rFonts w:ascii="黑体" w:hAnsi="黑体" w:eastAsia="黑体" w:cs="Times New Roman"/>
                <w:kern w:val="0"/>
                <w:sz w:val="24"/>
                <w:szCs w:val="24"/>
              </w:rPr>
              <w:t>项</w:t>
            </w:r>
            <w:r>
              <w:rPr>
                <w:rFonts w:hint="eastAsia" w:ascii="黑体" w:hAnsi="黑体" w:eastAsia="黑体" w:cs="Times New Roman"/>
                <w:kern w:val="0"/>
                <w:sz w:val="24"/>
                <w:szCs w:val="24"/>
              </w:rPr>
              <w:t xml:space="preserve">      </w:t>
            </w:r>
            <w:r>
              <w:rPr>
                <w:rFonts w:ascii="黑体" w:hAnsi="黑体" w:eastAsia="黑体" w:cs="Times New Roman"/>
                <w:kern w:val="0"/>
                <w:sz w:val="24"/>
                <w:szCs w:val="24"/>
              </w:rPr>
              <w:t>目</w:t>
            </w:r>
          </w:p>
        </w:tc>
        <w:tc>
          <w:tcPr>
            <w:tcW w:w="1179" w:type="dxa"/>
            <w:shd w:val="clear" w:color="auto" w:fill="auto"/>
            <w:vAlign w:val="center"/>
          </w:tcPr>
          <w:p>
            <w:pPr>
              <w:widowControl/>
              <w:jc w:val="center"/>
              <w:rPr>
                <w:rFonts w:ascii="黑体" w:hAnsi="黑体" w:eastAsia="黑体" w:cs="Times New Roman"/>
                <w:kern w:val="0"/>
                <w:sz w:val="24"/>
                <w:szCs w:val="24"/>
              </w:rPr>
            </w:pPr>
            <w:r>
              <w:rPr>
                <w:rFonts w:ascii="黑体" w:hAnsi="黑体" w:eastAsia="黑体" w:cs="Times New Roman"/>
                <w:kern w:val="0"/>
                <w:sz w:val="24"/>
                <w:szCs w:val="24"/>
              </w:rPr>
              <w:t>2023年</w:t>
            </w:r>
            <w:r>
              <w:rPr>
                <w:rFonts w:ascii="黑体" w:hAnsi="黑体" w:eastAsia="黑体" w:cs="Times New Roman"/>
                <w:kern w:val="0"/>
                <w:sz w:val="24"/>
                <w:szCs w:val="24"/>
              </w:rPr>
              <w:br w:type="textWrapping"/>
            </w:r>
            <w:r>
              <w:rPr>
                <w:rFonts w:ascii="黑体" w:hAnsi="黑体" w:eastAsia="黑体" w:cs="Times New Roman"/>
                <w:kern w:val="0"/>
                <w:sz w:val="24"/>
                <w:szCs w:val="24"/>
              </w:rPr>
              <w:t>预算数</w:t>
            </w:r>
          </w:p>
        </w:tc>
        <w:tc>
          <w:tcPr>
            <w:tcW w:w="1382" w:type="dxa"/>
            <w:shd w:val="clear" w:color="auto" w:fill="auto"/>
            <w:vAlign w:val="center"/>
          </w:tcPr>
          <w:p>
            <w:pPr>
              <w:widowControl/>
              <w:jc w:val="center"/>
              <w:rPr>
                <w:rFonts w:ascii="黑体" w:hAnsi="黑体" w:eastAsia="黑体" w:cs="Times New Roman"/>
                <w:kern w:val="0"/>
                <w:sz w:val="22"/>
              </w:rPr>
            </w:pPr>
            <w:r>
              <w:rPr>
                <w:rFonts w:ascii="黑体" w:hAnsi="黑体" w:eastAsia="黑体" w:cs="Times New Roman"/>
                <w:kern w:val="0"/>
                <w:sz w:val="22"/>
              </w:rPr>
              <w:t>2022年预计</w:t>
            </w:r>
            <w:r>
              <w:rPr>
                <w:rFonts w:ascii="黑体" w:hAnsi="黑体" w:eastAsia="黑体" w:cs="Times New Roman"/>
                <w:kern w:val="0"/>
                <w:sz w:val="22"/>
              </w:rPr>
              <w:br w:type="textWrapping"/>
            </w:r>
            <w:r>
              <w:rPr>
                <w:rFonts w:ascii="黑体" w:hAnsi="黑体" w:eastAsia="黑体" w:cs="Times New Roman"/>
                <w:kern w:val="0"/>
                <w:sz w:val="22"/>
              </w:rPr>
              <w:t>执行数</w:t>
            </w:r>
          </w:p>
        </w:tc>
        <w:tc>
          <w:tcPr>
            <w:tcW w:w="941" w:type="dxa"/>
            <w:shd w:val="clear" w:color="auto" w:fill="auto"/>
            <w:vAlign w:val="center"/>
          </w:tcPr>
          <w:p>
            <w:pPr>
              <w:widowControl/>
              <w:jc w:val="center"/>
              <w:rPr>
                <w:rFonts w:ascii="黑体" w:hAnsi="黑体" w:eastAsia="黑体" w:cs="Times New Roman"/>
                <w:kern w:val="0"/>
                <w:sz w:val="24"/>
                <w:szCs w:val="24"/>
              </w:rPr>
            </w:pPr>
            <w:r>
              <w:rPr>
                <w:rFonts w:ascii="黑体" w:hAnsi="黑体" w:eastAsia="黑体" w:cs="Times New Roman"/>
                <w:kern w:val="0"/>
                <w:sz w:val="24"/>
                <w:szCs w:val="24"/>
              </w:rPr>
              <w:t>比上年</w:t>
            </w:r>
            <w:r>
              <w:rPr>
                <w:rFonts w:ascii="黑体" w:hAnsi="黑体" w:eastAsia="黑体" w:cs="Times New Roman"/>
                <w:kern w:val="0"/>
                <w:sz w:val="24"/>
                <w:szCs w:val="24"/>
              </w:rPr>
              <w:br w:type="textWrapping"/>
            </w:r>
            <w:r>
              <w:rPr>
                <w:rFonts w:ascii="黑体" w:hAnsi="黑体" w:eastAsia="黑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5300"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社会保险基金支出合计</w:t>
            </w:r>
          </w:p>
        </w:tc>
        <w:tc>
          <w:tcPr>
            <w:tcW w:w="117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143693</w:t>
            </w:r>
          </w:p>
        </w:tc>
        <w:tc>
          <w:tcPr>
            <w:tcW w:w="13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132077</w:t>
            </w:r>
          </w:p>
        </w:tc>
        <w:tc>
          <w:tcPr>
            <w:tcW w:w="94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5300"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其中:社会保险待遇支出</w:t>
            </w:r>
          </w:p>
        </w:tc>
        <w:tc>
          <w:tcPr>
            <w:tcW w:w="117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142303</w:t>
            </w:r>
          </w:p>
        </w:tc>
        <w:tc>
          <w:tcPr>
            <w:tcW w:w="13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126668</w:t>
            </w:r>
          </w:p>
        </w:tc>
        <w:tc>
          <w:tcPr>
            <w:tcW w:w="94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12.3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5300"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转移支出</w:t>
            </w:r>
          </w:p>
        </w:tc>
        <w:tc>
          <w:tcPr>
            <w:tcW w:w="117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851</w:t>
            </w:r>
          </w:p>
        </w:tc>
        <w:tc>
          <w:tcPr>
            <w:tcW w:w="13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855</w:t>
            </w:r>
          </w:p>
        </w:tc>
        <w:tc>
          <w:tcPr>
            <w:tcW w:w="94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5300"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上解上级支出</w:t>
            </w:r>
          </w:p>
        </w:tc>
        <w:tc>
          <w:tcPr>
            <w:tcW w:w="117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401</w:t>
            </w:r>
          </w:p>
        </w:tc>
        <w:tc>
          <w:tcPr>
            <w:tcW w:w="13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394</w:t>
            </w:r>
          </w:p>
        </w:tc>
        <w:tc>
          <w:tcPr>
            <w:tcW w:w="94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5300"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其他社会保险基金支出</w:t>
            </w:r>
          </w:p>
        </w:tc>
        <w:tc>
          <w:tcPr>
            <w:tcW w:w="117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w:t>
            </w:r>
          </w:p>
        </w:tc>
        <w:tc>
          <w:tcPr>
            <w:tcW w:w="13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4160</w:t>
            </w:r>
          </w:p>
        </w:tc>
        <w:tc>
          <w:tcPr>
            <w:tcW w:w="94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-96.7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5300"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（一）城乡居民基本养老保险基金支出</w:t>
            </w:r>
          </w:p>
        </w:tc>
        <w:tc>
          <w:tcPr>
            <w:tcW w:w="117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55396</w:t>
            </w:r>
          </w:p>
        </w:tc>
        <w:tc>
          <w:tcPr>
            <w:tcW w:w="13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45230</w:t>
            </w:r>
          </w:p>
        </w:tc>
        <w:tc>
          <w:tcPr>
            <w:tcW w:w="94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5300"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其中:保险待遇支出</w:t>
            </w:r>
          </w:p>
        </w:tc>
        <w:tc>
          <w:tcPr>
            <w:tcW w:w="117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55353</w:t>
            </w:r>
          </w:p>
        </w:tc>
        <w:tc>
          <w:tcPr>
            <w:tcW w:w="13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45189</w:t>
            </w:r>
          </w:p>
        </w:tc>
        <w:tc>
          <w:tcPr>
            <w:tcW w:w="94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5300"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转移支出</w:t>
            </w:r>
          </w:p>
        </w:tc>
        <w:tc>
          <w:tcPr>
            <w:tcW w:w="117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4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5300"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其他居民基本养老保险基金支出</w:t>
            </w:r>
          </w:p>
        </w:tc>
        <w:tc>
          <w:tcPr>
            <w:tcW w:w="117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w:t>
            </w:r>
          </w:p>
        </w:tc>
        <w:tc>
          <w:tcPr>
            <w:tcW w:w="13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w:t>
            </w:r>
          </w:p>
        </w:tc>
        <w:tc>
          <w:tcPr>
            <w:tcW w:w="94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5300"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（二）机关事业单位基本养老保险基金支出</w:t>
            </w:r>
          </w:p>
        </w:tc>
        <w:tc>
          <w:tcPr>
            <w:tcW w:w="117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73038</w:t>
            </w:r>
          </w:p>
        </w:tc>
        <w:tc>
          <w:tcPr>
            <w:tcW w:w="13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70447</w:t>
            </w:r>
          </w:p>
        </w:tc>
        <w:tc>
          <w:tcPr>
            <w:tcW w:w="94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5300"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其中:基本养老金支出</w:t>
            </w:r>
          </w:p>
        </w:tc>
        <w:tc>
          <w:tcPr>
            <w:tcW w:w="117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72195</w:t>
            </w:r>
          </w:p>
        </w:tc>
        <w:tc>
          <w:tcPr>
            <w:tcW w:w="13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69598</w:t>
            </w:r>
          </w:p>
        </w:tc>
        <w:tc>
          <w:tcPr>
            <w:tcW w:w="94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5300"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转移支出</w:t>
            </w:r>
          </w:p>
        </w:tc>
        <w:tc>
          <w:tcPr>
            <w:tcW w:w="117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843</w:t>
            </w:r>
          </w:p>
        </w:tc>
        <w:tc>
          <w:tcPr>
            <w:tcW w:w="13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849</w:t>
            </w:r>
          </w:p>
        </w:tc>
        <w:tc>
          <w:tcPr>
            <w:tcW w:w="94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5300"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（三）工伤保险基金支出</w:t>
            </w:r>
          </w:p>
        </w:tc>
        <w:tc>
          <w:tcPr>
            <w:tcW w:w="117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9791</w:t>
            </w:r>
          </w:p>
        </w:tc>
        <w:tc>
          <w:tcPr>
            <w:tcW w:w="13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7416</w:t>
            </w:r>
          </w:p>
        </w:tc>
        <w:tc>
          <w:tcPr>
            <w:tcW w:w="94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5300"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其中:工伤保险待遇支出</w:t>
            </w:r>
          </w:p>
        </w:tc>
        <w:tc>
          <w:tcPr>
            <w:tcW w:w="117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9726</w:t>
            </w:r>
          </w:p>
        </w:tc>
        <w:tc>
          <w:tcPr>
            <w:tcW w:w="13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7348</w:t>
            </w:r>
          </w:p>
        </w:tc>
        <w:tc>
          <w:tcPr>
            <w:tcW w:w="94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5300"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上解上级支出</w:t>
            </w:r>
          </w:p>
        </w:tc>
        <w:tc>
          <w:tcPr>
            <w:tcW w:w="117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w:t>
            </w:r>
          </w:p>
        </w:tc>
        <w:tc>
          <w:tcPr>
            <w:tcW w:w="13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w:t>
            </w:r>
          </w:p>
        </w:tc>
        <w:tc>
          <w:tcPr>
            <w:tcW w:w="94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5300"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（四）失业保险基金支出</w:t>
            </w:r>
          </w:p>
        </w:tc>
        <w:tc>
          <w:tcPr>
            <w:tcW w:w="117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5468</w:t>
            </w:r>
          </w:p>
        </w:tc>
        <w:tc>
          <w:tcPr>
            <w:tcW w:w="13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8984</w:t>
            </w:r>
          </w:p>
        </w:tc>
        <w:tc>
          <w:tcPr>
            <w:tcW w:w="94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-39.1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5300" w:type="dxa"/>
            <w:shd w:val="clear" w:color="auto" w:fill="auto"/>
            <w:noWrap/>
            <w:vAlign w:val="center"/>
          </w:tcPr>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其中:失业保险待遇支出</w:t>
            </w:r>
          </w:p>
        </w:tc>
        <w:tc>
          <w:tcPr>
            <w:tcW w:w="117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5029</w:t>
            </w:r>
          </w:p>
        </w:tc>
        <w:tc>
          <w:tcPr>
            <w:tcW w:w="13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4533</w:t>
            </w:r>
          </w:p>
        </w:tc>
        <w:tc>
          <w:tcPr>
            <w:tcW w:w="94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5300"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转移支出</w:t>
            </w:r>
          </w:p>
        </w:tc>
        <w:tc>
          <w:tcPr>
            <w:tcW w:w="117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w:t>
            </w:r>
          </w:p>
        </w:tc>
        <w:tc>
          <w:tcPr>
            <w:tcW w:w="13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w:t>
            </w:r>
          </w:p>
        </w:tc>
        <w:tc>
          <w:tcPr>
            <w:tcW w:w="94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5300"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上解上级支出</w:t>
            </w:r>
          </w:p>
        </w:tc>
        <w:tc>
          <w:tcPr>
            <w:tcW w:w="117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336</w:t>
            </w:r>
          </w:p>
        </w:tc>
        <w:tc>
          <w:tcPr>
            <w:tcW w:w="13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326</w:t>
            </w:r>
          </w:p>
        </w:tc>
        <w:tc>
          <w:tcPr>
            <w:tcW w:w="94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5300" w:type="dxa"/>
            <w:shd w:val="clear" w:color="auto" w:fill="auto"/>
            <w:noWrap/>
            <w:vAlign w:val="center"/>
          </w:tcPr>
          <w:p>
            <w:pPr>
              <w:widowControl/>
              <w:ind w:firstLine="960" w:firstLineChars="4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其他失业保险基金支出</w:t>
            </w:r>
          </w:p>
        </w:tc>
        <w:tc>
          <w:tcPr>
            <w:tcW w:w="117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w:t>
            </w:r>
          </w:p>
        </w:tc>
        <w:tc>
          <w:tcPr>
            <w:tcW w:w="1382"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4119</w:t>
            </w:r>
          </w:p>
        </w:tc>
        <w:tc>
          <w:tcPr>
            <w:tcW w:w="941"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-97.7 </w:t>
            </w:r>
          </w:p>
        </w:tc>
      </w:tr>
    </w:tbl>
    <w:p>
      <w:pPr>
        <w:rPr>
          <w:rFonts w:ascii="Times New Roman" w:hAnsi="Times New Roman" w:cs="Times New Roman"/>
        </w:rPr>
      </w:pPr>
    </w:p>
    <w:tbl>
      <w:tblPr>
        <w:tblStyle w:val="7"/>
        <w:tblW w:w="8839" w:type="dxa"/>
        <w:tblInd w:w="108" w:type="dxa"/>
        <w:tblLayout w:type="fixed"/>
        <w:tblCellMar>
          <w:top w:w="0" w:type="dxa"/>
          <w:left w:w="108" w:type="dxa"/>
          <w:bottom w:w="0" w:type="dxa"/>
          <w:right w:w="108" w:type="dxa"/>
        </w:tblCellMar>
      </w:tblPr>
      <w:tblGrid>
        <w:gridCol w:w="8839"/>
      </w:tblGrid>
      <w:tr>
        <w:tblPrEx>
          <w:tblCellMar>
            <w:top w:w="0" w:type="dxa"/>
            <w:left w:w="108" w:type="dxa"/>
            <w:bottom w:w="0" w:type="dxa"/>
            <w:right w:w="108" w:type="dxa"/>
          </w:tblCellMar>
        </w:tblPrEx>
        <w:trPr>
          <w:trHeight w:val="499" w:hRule="atLeast"/>
        </w:trPr>
        <w:tc>
          <w:tcPr>
            <w:tcW w:w="8839"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sz w:val="22"/>
              </w:rPr>
            </w:pPr>
            <w:r>
              <w:rPr>
                <w:rFonts w:ascii="Times New Roman" w:hAnsi="Times New Roman" w:eastAsia="楷体_GB2312" w:cs="Times New Roman"/>
                <w:sz w:val="22"/>
              </w:rPr>
              <w:t>注：1.城乡居民基本养老保险基金支出增加主要是被征地农民转居保高档次人员待遇支出增加</w:t>
            </w:r>
          </w:p>
        </w:tc>
      </w:tr>
      <w:tr>
        <w:tblPrEx>
          <w:tblCellMar>
            <w:top w:w="0" w:type="dxa"/>
            <w:left w:w="108" w:type="dxa"/>
            <w:bottom w:w="0" w:type="dxa"/>
            <w:right w:w="108" w:type="dxa"/>
          </w:tblCellMar>
        </w:tblPrEx>
        <w:trPr>
          <w:trHeight w:val="283" w:hRule="atLeast"/>
        </w:trPr>
        <w:tc>
          <w:tcPr>
            <w:tcW w:w="8839"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2.机关事业单位基本养老保险基金支出增加主要是退休待遇调高及退休人员增加</w:t>
            </w:r>
          </w:p>
        </w:tc>
      </w:tr>
      <w:tr>
        <w:tblPrEx>
          <w:tblCellMar>
            <w:top w:w="0" w:type="dxa"/>
            <w:left w:w="108" w:type="dxa"/>
            <w:bottom w:w="0" w:type="dxa"/>
            <w:right w:w="108" w:type="dxa"/>
          </w:tblCellMar>
        </w:tblPrEx>
        <w:trPr>
          <w:trHeight w:val="283" w:hRule="atLeast"/>
        </w:trPr>
        <w:tc>
          <w:tcPr>
            <w:tcW w:w="8839"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3.工伤保险基金支出增加主要是工伤和工亡人数增加</w:t>
            </w:r>
          </w:p>
        </w:tc>
      </w:tr>
      <w:tr>
        <w:tblPrEx>
          <w:tblCellMar>
            <w:top w:w="0" w:type="dxa"/>
            <w:left w:w="108" w:type="dxa"/>
            <w:bottom w:w="0" w:type="dxa"/>
            <w:right w:w="108" w:type="dxa"/>
          </w:tblCellMar>
        </w:tblPrEx>
        <w:trPr>
          <w:trHeight w:val="619" w:hRule="atLeast"/>
        </w:trPr>
        <w:tc>
          <w:tcPr>
            <w:tcW w:w="8839"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sz w:val="22"/>
              </w:rPr>
            </w:pPr>
            <w:r>
              <w:rPr>
                <w:rFonts w:ascii="Times New Roman" w:hAnsi="Times New Roman" w:eastAsia="楷体_GB2312" w:cs="Times New Roman"/>
                <w:sz w:val="22"/>
              </w:rPr>
              <w:t>4.失业保险基金支出减少主要是2022年因疫情发放稳岗补贴支出2722万元、一次性留工补助支出3590万元</w:t>
            </w:r>
          </w:p>
        </w:tc>
      </w:tr>
    </w:tbl>
    <w:p>
      <w:pPr>
        <w:spacing w:line="600" w:lineRule="exact"/>
        <w:jc w:val="center"/>
        <w:rPr>
          <w:rFonts w:ascii="Times New Roman" w:hAnsi="Times New Roman" w:eastAsia="方正小标宋简体" w:cs="Times New Roman"/>
          <w:color w:val="000000"/>
          <w:kern w:val="0"/>
          <w:sz w:val="44"/>
          <w:szCs w:val="44"/>
        </w:rPr>
      </w:pPr>
      <w:bookmarkStart w:id="17" w:name="RANGE!A1:F6"/>
      <w:r>
        <w:rPr>
          <w:rFonts w:ascii="Times New Roman" w:hAnsi="Times New Roman" w:eastAsia="方正小标宋简体" w:cs="Times New Roman"/>
          <w:color w:val="000000"/>
          <w:kern w:val="0"/>
          <w:sz w:val="44"/>
          <w:szCs w:val="44"/>
        </w:rPr>
        <w:t>2022年地方政府债务限额及余额情况表</w:t>
      </w:r>
      <w:bookmarkEnd w:id="17"/>
    </w:p>
    <w:p>
      <w:pPr>
        <w:rPr>
          <w:rFonts w:ascii="Times New Roman" w:hAnsi="Times New Roman" w:eastAsia="楷体_GB2312" w:cs="Times New Roman"/>
          <w:color w:val="000000" w:themeColor="text1"/>
          <w:kern w:val="0"/>
          <w:sz w:val="24"/>
          <w:szCs w:val="2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表二十五                                                      单位：万元</w:t>
      </w:r>
    </w:p>
    <w:tbl>
      <w:tblPr>
        <w:tblStyle w:val="7"/>
        <w:tblW w:w="91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40"/>
        <w:gridCol w:w="1356"/>
        <w:gridCol w:w="1220"/>
        <w:gridCol w:w="1640"/>
        <w:gridCol w:w="1640"/>
        <w:gridCol w:w="16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8" w:hRule="atLeast"/>
          <w:jc w:val="center"/>
        </w:trPr>
        <w:tc>
          <w:tcPr>
            <w:tcW w:w="4216" w:type="dxa"/>
            <w:gridSpan w:val="3"/>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2022年债务限额</w:t>
            </w:r>
          </w:p>
        </w:tc>
        <w:tc>
          <w:tcPr>
            <w:tcW w:w="4920" w:type="dxa"/>
            <w:gridSpan w:val="3"/>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2022年债务余额执行数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8" w:hRule="atLeast"/>
          <w:jc w:val="center"/>
        </w:trPr>
        <w:tc>
          <w:tcPr>
            <w:tcW w:w="1640"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合计</w:t>
            </w:r>
          </w:p>
        </w:tc>
        <w:tc>
          <w:tcPr>
            <w:tcW w:w="1356"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一般债务</w:t>
            </w:r>
          </w:p>
        </w:tc>
        <w:tc>
          <w:tcPr>
            <w:tcW w:w="1220"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专项债务</w:t>
            </w:r>
          </w:p>
        </w:tc>
        <w:tc>
          <w:tcPr>
            <w:tcW w:w="1640"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合计</w:t>
            </w:r>
          </w:p>
        </w:tc>
        <w:tc>
          <w:tcPr>
            <w:tcW w:w="1640"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一般债务</w:t>
            </w:r>
          </w:p>
        </w:tc>
        <w:tc>
          <w:tcPr>
            <w:tcW w:w="1640"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专项债务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8" w:hRule="atLeast"/>
          <w:jc w:val="center"/>
        </w:trPr>
        <w:tc>
          <w:tcPr>
            <w:tcW w:w="164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754200</w:t>
            </w:r>
          </w:p>
        </w:tc>
        <w:tc>
          <w:tcPr>
            <w:tcW w:w="135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181700</w:t>
            </w:r>
          </w:p>
        </w:tc>
        <w:tc>
          <w:tcPr>
            <w:tcW w:w="122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572500</w:t>
            </w:r>
          </w:p>
        </w:tc>
        <w:tc>
          <w:tcPr>
            <w:tcW w:w="164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753959</w:t>
            </w:r>
          </w:p>
        </w:tc>
        <w:tc>
          <w:tcPr>
            <w:tcW w:w="164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181596</w:t>
            </w:r>
          </w:p>
        </w:tc>
        <w:tc>
          <w:tcPr>
            <w:tcW w:w="164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572363</w:t>
            </w:r>
          </w:p>
        </w:tc>
      </w:tr>
    </w:tbl>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bookmarkStart w:id="18" w:name="RANGE!A1:C13"/>
      <w:r>
        <w:rPr>
          <w:rFonts w:ascii="Times New Roman" w:hAnsi="Times New Roman" w:eastAsia="方正小标宋简体" w:cs="Times New Roman"/>
          <w:color w:val="000000"/>
          <w:kern w:val="0"/>
          <w:sz w:val="44"/>
          <w:szCs w:val="44"/>
        </w:rPr>
        <w:t>2022年地方政府一般债务余额情况表</w:t>
      </w:r>
      <w:bookmarkEnd w:id="18"/>
    </w:p>
    <w:p>
      <w:pPr>
        <w:rPr>
          <w:rFonts w:ascii="Times New Roman" w:hAnsi="Times New Roman" w:eastAsia="楷体_GB2312" w:cs="Times New Roman"/>
          <w:color w:val="000000" w:themeColor="text1"/>
          <w:kern w:val="0"/>
          <w:sz w:val="24"/>
          <w:szCs w:val="2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表二十六                                                     单位：万元</w:t>
      </w:r>
    </w:p>
    <w:tbl>
      <w:tblPr>
        <w:tblStyle w:val="7"/>
        <w:tblW w:w="91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89"/>
        <w:gridCol w:w="1477"/>
        <w:gridCol w:w="20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6" w:hRule="atLeast"/>
          <w:jc w:val="center"/>
        </w:trPr>
        <w:tc>
          <w:tcPr>
            <w:tcW w:w="5689"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1477"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预算数</w:t>
            </w:r>
          </w:p>
        </w:tc>
        <w:tc>
          <w:tcPr>
            <w:tcW w:w="2019"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执行数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6" w:hRule="atLeast"/>
          <w:jc w:val="center"/>
        </w:trPr>
        <w:tc>
          <w:tcPr>
            <w:tcW w:w="568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一、2021年末地方政府一般债务余额实际数</w:t>
            </w:r>
          </w:p>
        </w:tc>
        <w:tc>
          <w:tcPr>
            <w:tcW w:w="147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201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181698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6" w:hRule="atLeast"/>
          <w:jc w:val="center"/>
        </w:trPr>
        <w:tc>
          <w:tcPr>
            <w:tcW w:w="568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二、2022年末地方政府一般债务余额限额</w:t>
            </w:r>
          </w:p>
        </w:tc>
        <w:tc>
          <w:tcPr>
            <w:tcW w:w="147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181700</w:t>
            </w:r>
          </w:p>
        </w:tc>
        <w:tc>
          <w:tcPr>
            <w:tcW w:w="201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6" w:hRule="atLeast"/>
          <w:jc w:val="center"/>
        </w:trPr>
        <w:tc>
          <w:tcPr>
            <w:tcW w:w="568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三、2022年地方政府一般债务发行额</w:t>
            </w:r>
          </w:p>
        </w:tc>
        <w:tc>
          <w:tcPr>
            <w:tcW w:w="147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201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6" w:hRule="atLeast"/>
          <w:jc w:val="center"/>
        </w:trPr>
        <w:tc>
          <w:tcPr>
            <w:tcW w:w="568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中央转贷地方的国际金融组织和外国政府贷款</w:t>
            </w:r>
          </w:p>
        </w:tc>
        <w:tc>
          <w:tcPr>
            <w:tcW w:w="147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201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6" w:hRule="atLeast"/>
          <w:jc w:val="center"/>
        </w:trPr>
        <w:tc>
          <w:tcPr>
            <w:tcW w:w="5689"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2022年地方政府一般债券发行额</w:t>
            </w:r>
          </w:p>
        </w:tc>
        <w:tc>
          <w:tcPr>
            <w:tcW w:w="147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201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6" w:hRule="atLeast"/>
          <w:jc w:val="center"/>
        </w:trPr>
        <w:tc>
          <w:tcPr>
            <w:tcW w:w="568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四、2022年地方政府一般债务还本额</w:t>
            </w:r>
          </w:p>
        </w:tc>
        <w:tc>
          <w:tcPr>
            <w:tcW w:w="147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201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35129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6" w:hRule="atLeast"/>
          <w:jc w:val="center"/>
        </w:trPr>
        <w:tc>
          <w:tcPr>
            <w:tcW w:w="568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五、2022年末地方政府一般债务余额预计执行数</w:t>
            </w:r>
          </w:p>
        </w:tc>
        <w:tc>
          <w:tcPr>
            <w:tcW w:w="147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201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181596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6" w:hRule="atLeast"/>
          <w:jc w:val="center"/>
        </w:trPr>
        <w:tc>
          <w:tcPr>
            <w:tcW w:w="568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六、2023年地方财政赤字</w:t>
            </w:r>
          </w:p>
        </w:tc>
        <w:tc>
          <w:tcPr>
            <w:tcW w:w="147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201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6" w:hRule="atLeast"/>
          <w:jc w:val="center"/>
        </w:trPr>
        <w:tc>
          <w:tcPr>
            <w:tcW w:w="5689"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七、2023年地方政府一般债务余额限额</w:t>
            </w:r>
          </w:p>
        </w:tc>
        <w:tc>
          <w:tcPr>
            <w:tcW w:w="1477" w:type="dxa"/>
            <w:shd w:val="clear" w:color="auto" w:fill="auto"/>
            <w:vAlign w:val="center"/>
          </w:tcPr>
          <w:p>
            <w:pPr>
              <w:widowControl/>
              <w:jc w:val="center"/>
              <w:rPr>
                <w:rFonts w:hint="eastAsia" w:ascii="Times New Roman" w:hAnsi="Times New Roman" w:eastAsia="宋体" w:cs="Times New Roman"/>
                <w:color w:val="000000"/>
                <w:kern w:val="0"/>
                <w:sz w:val="24"/>
                <w:szCs w:val="24"/>
                <w:lang w:val="en-US" w:eastAsia="zh-CN"/>
              </w:rPr>
            </w:pPr>
            <w:r>
              <w:rPr>
                <w:rFonts w:hint="eastAsia" w:ascii="Times New Roman" w:hAnsi="Times New Roman" w:eastAsia="宋体" w:cs="Times New Roman"/>
                <w:color w:val="000000"/>
                <w:kern w:val="0"/>
                <w:sz w:val="24"/>
                <w:szCs w:val="24"/>
                <w:lang w:val="en-US" w:eastAsia="zh-CN"/>
              </w:rPr>
              <w:t>0</w:t>
            </w:r>
          </w:p>
        </w:tc>
        <w:tc>
          <w:tcPr>
            <w:tcW w:w="201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2022年地方政府专项债务余额情况表</w:t>
      </w:r>
    </w:p>
    <w:p>
      <w:pPr>
        <w:rPr>
          <w:rFonts w:ascii="Times New Roman" w:hAnsi="Times New Roman" w:eastAsia="楷体_GB2312" w:cs="Times New Roman"/>
          <w:color w:val="000000" w:themeColor="text1"/>
          <w:kern w:val="0"/>
          <w:sz w:val="24"/>
          <w:szCs w:val="2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表二十七                                                      单位：万元</w:t>
      </w:r>
    </w:p>
    <w:tbl>
      <w:tblPr>
        <w:tblStyle w:val="7"/>
        <w:tblW w:w="87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88"/>
        <w:gridCol w:w="1624"/>
        <w:gridCol w:w="16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5488"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1624"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预算数</w:t>
            </w:r>
          </w:p>
        </w:tc>
        <w:tc>
          <w:tcPr>
            <w:tcW w:w="1624"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执行数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5488"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一、2021年末地方政府专项债务余额实际数</w:t>
            </w:r>
          </w:p>
        </w:tc>
        <w:tc>
          <w:tcPr>
            <w:tcW w:w="1624"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24"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425743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5488"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二、2022年末地方政府专项债务余额限额</w:t>
            </w:r>
          </w:p>
        </w:tc>
        <w:tc>
          <w:tcPr>
            <w:tcW w:w="1624"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572500</w:t>
            </w:r>
          </w:p>
        </w:tc>
        <w:tc>
          <w:tcPr>
            <w:tcW w:w="1624"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5488"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三、2022年地方政府专项债务发行额</w:t>
            </w:r>
          </w:p>
        </w:tc>
        <w:tc>
          <w:tcPr>
            <w:tcW w:w="1624"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24"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204000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5488"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四、2022年地方政府专项债务还本额</w:t>
            </w:r>
          </w:p>
        </w:tc>
        <w:tc>
          <w:tcPr>
            <w:tcW w:w="1624"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24"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57491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5488"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五、2022年末地方政府专项债务余额预计执行数</w:t>
            </w:r>
          </w:p>
        </w:tc>
        <w:tc>
          <w:tcPr>
            <w:tcW w:w="1624"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24"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572363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5488"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六、2023年地方政府专项债务新增限额</w:t>
            </w:r>
          </w:p>
        </w:tc>
        <w:tc>
          <w:tcPr>
            <w:tcW w:w="1624"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624"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5488"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七、2023年末地方政府专项债务余额限额</w:t>
            </w:r>
          </w:p>
        </w:tc>
        <w:tc>
          <w:tcPr>
            <w:tcW w:w="1624"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624"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kern w:val="0"/>
          <w:sz w:val="44"/>
          <w:szCs w:val="44"/>
        </w:rPr>
      </w:pPr>
      <w:bookmarkStart w:id="19" w:name="RANGE!A1:B25"/>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r>
        <w:rPr>
          <w:rFonts w:ascii="Times New Roman" w:hAnsi="Times New Roman" w:eastAsia="方正小标宋简体" w:cs="Times New Roman"/>
          <w:color w:val="000000"/>
          <w:kern w:val="0"/>
          <w:sz w:val="44"/>
          <w:szCs w:val="44"/>
        </w:rPr>
        <w:t>地方政府债券转贷及还本付息情况表</w:t>
      </w:r>
      <w:bookmarkEnd w:id="19"/>
    </w:p>
    <w:p>
      <w:pPr>
        <w:spacing w:line="600" w:lineRule="exact"/>
        <w:jc w:val="center"/>
        <w:rPr>
          <w:rFonts w:ascii="Times New Roman" w:hAnsi="Times New Roman" w:eastAsia="方正小标宋简体" w:cs="Times New Roman"/>
          <w:color w:val="000000" w:themeColor="text1"/>
          <w:spacing w:val="-6"/>
          <w:kern w:val="0"/>
          <w:sz w:val="44"/>
          <w:szCs w:val="4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表二十八                                                      单位：万元</w:t>
      </w:r>
    </w:p>
    <w:tbl>
      <w:tblPr>
        <w:tblStyle w:val="7"/>
        <w:tblW w:w="8847"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80"/>
        <w:gridCol w:w="33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480"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w:t>
            </w:r>
            <w:r>
              <w:rPr>
                <w:rFonts w:hint="eastAsia" w:ascii="Times New Roman" w:hAnsi="Times New Roman" w:eastAsia="黑体" w:cs="Times New Roman"/>
                <w:color w:val="000000"/>
                <w:kern w:val="0"/>
                <w:sz w:val="24"/>
                <w:szCs w:val="24"/>
              </w:rPr>
              <w:t xml:space="preserve">    </w:t>
            </w:r>
            <w:r>
              <w:rPr>
                <w:rFonts w:ascii="Times New Roman" w:hAnsi="Times New Roman" w:eastAsia="黑体" w:cs="Times New Roman"/>
                <w:color w:val="000000"/>
                <w:kern w:val="0"/>
                <w:sz w:val="24"/>
                <w:szCs w:val="24"/>
              </w:rPr>
              <w:t>目</w:t>
            </w:r>
          </w:p>
        </w:tc>
        <w:tc>
          <w:tcPr>
            <w:tcW w:w="3367"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48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一、2022年发行预计执行数</w:t>
            </w:r>
          </w:p>
        </w:tc>
        <w:tc>
          <w:tcPr>
            <w:tcW w:w="33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239000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48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（一）一般债券</w:t>
            </w:r>
          </w:p>
        </w:tc>
        <w:tc>
          <w:tcPr>
            <w:tcW w:w="33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48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其中：再融资债券</w:t>
            </w:r>
          </w:p>
        </w:tc>
        <w:tc>
          <w:tcPr>
            <w:tcW w:w="33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48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（二）专项债券</w:t>
            </w:r>
          </w:p>
        </w:tc>
        <w:tc>
          <w:tcPr>
            <w:tcW w:w="33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204000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48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其中：再融资债券</w:t>
            </w:r>
          </w:p>
        </w:tc>
        <w:tc>
          <w:tcPr>
            <w:tcW w:w="33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48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二、2022年还本预计执行数</w:t>
            </w:r>
          </w:p>
        </w:tc>
        <w:tc>
          <w:tcPr>
            <w:tcW w:w="33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92391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48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（一）一般债券</w:t>
            </w:r>
          </w:p>
        </w:tc>
        <w:tc>
          <w:tcPr>
            <w:tcW w:w="33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48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（二）专项债券</w:t>
            </w:r>
          </w:p>
        </w:tc>
        <w:tc>
          <w:tcPr>
            <w:tcW w:w="33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57491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48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三、2022年付息预计执行数</w:t>
            </w:r>
          </w:p>
        </w:tc>
        <w:tc>
          <w:tcPr>
            <w:tcW w:w="3367" w:type="dxa"/>
            <w:shd w:val="clear" w:color="auto" w:fill="auto"/>
            <w:vAlign w:val="center"/>
          </w:tcPr>
          <w:p>
            <w:pPr>
              <w:widowControl/>
              <w:jc w:val="center"/>
              <w:rPr>
                <w:rFonts w:hint="default" w:ascii="Times New Roman" w:hAnsi="Times New Roman" w:eastAsia="宋体" w:cs="Times New Roman"/>
                <w:color w:val="000000"/>
                <w:kern w:val="0"/>
                <w:sz w:val="24"/>
                <w:szCs w:val="24"/>
                <w:lang w:val="en-US" w:eastAsia="zh-CN"/>
              </w:rPr>
            </w:pPr>
            <w:r>
              <w:rPr>
                <w:rFonts w:hint="eastAsia" w:ascii="Times New Roman" w:hAnsi="Times New Roman" w:eastAsia="宋体" w:cs="Times New Roman"/>
                <w:color w:val="000000"/>
                <w:kern w:val="0"/>
                <w:sz w:val="24"/>
                <w:szCs w:val="24"/>
                <w:lang w:val="en-US" w:eastAsia="zh-CN"/>
              </w:rPr>
              <w:t>21500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48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（一）一般债券</w:t>
            </w:r>
          </w:p>
        </w:tc>
        <w:tc>
          <w:tcPr>
            <w:tcW w:w="3367" w:type="dxa"/>
            <w:shd w:val="clear" w:color="auto" w:fill="auto"/>
            <w:vAlign w:val="center"/>
          </w:tcPr>
          <w:p>
            <w:pPr>
              <w:widowControl/>
              <w:jc w:val="center"/>
              <w:rPr>
                <w:rFonts w:hint="default" w:ascii="Times New Roman" w:hAnsi="Times New Roman" w:eastAsia="宋体" w:cs="Times New Roman"/>
                <w:color w:val="000000"/>
                <w:kern w:val="0"/>
                <w:sz w:val="24"/>
                <w:szCs w:val="24"/>
                <w:lang w:val="en-US" w:eastAsia="zh-CN"/>
              </w:rPr>
            </w:pPr>
            <w:r>
              <w:rPr>
                <w:rFonts w:hint="eastAsia" w:ascii="Times New Roman" w:hAnsi="Times New Roman" w:eastAsia="宋体" w:cs="Times New Roman"/>
                <w:color w:val="000000"/>
                <w:kern w:val="0"/>
                <w:sz w:val="24"/>
                <w:szCs w:val="24"/>
                <w:lang w:val="en-US" w:eastAsia="zh-CN"/>
              </w:rPr>
              <w:t>6561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48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（二）专项债券</w:t>
            </w:r>
          </w:p>
        </w:tc>
        <w:tc>
          <w:tcPr>
            <w:tcW w:w="3367" w:type="dxa"/>
            <w:shd w:val="clear" w:color="auto" w:fill="auto"/>
            <w:vAlign w:val="center"/>
          </w:tcPr>
          <w:p>
            <w:pPr>
              <w:widowControl/>
              <w:jc w:val="center"/>
              <w:rPr>
                <w:rFonts w:hint="default" w:ascii="Times New Roman" w:hAnsi="Times New Roman" w:eastAsia="宋体" w:cs="Times New Roman"/>
                <w:color w:val="000000"/>
                <w:kern w:val="0"/>
                <w:sz w:val="24"/>
                <w:szCs w:val="24"/>
                <w:lang w:val="en-US" w:eastAsia="zh-CN"/>
              </w:rPr>
            </w:pPr>
            <w:r>
              <w:rPr>
                <w:rFonts w:hint="eastAsia" w:ascii="Times New Roman" w:hAnsi="Times New Roman" w:eastAsia="宋体" w:cs="Times New Roman"/>
                <w:color w:val="000000"/>
                <w:kern w:val="0"/>
                <w:sz w:val="24"/>
                <w:szCs w:val="24"/>
                <w:lang w:val="en-US" w:eastAsia="zh-CN"/>
              </w:rPr>
              <w:t>14939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48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四、2023年还本预算数</w:t>
            </w:r>
          </w:p>
        </w:tc>
        <w:tc>
          <w:tcPr>
            <w:tcW w:w="33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54584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48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（一）一般债券</w:t>
            </w:r>
          </w:p>
        </w:tc>
        <w:tc>
          <w:tcPr>
            <w:tcW w:w="33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20346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48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其中：再融资</w:t>
            </w:r>
          </w:p>
        </w:tc>
        <w:tc>
          <w:tcPr>
            <w:tcW w:w="33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480" w:type="dxa"/>
            <w:shd w:val="clear" w:color="auto" w:fill="auto"/>
            <w:vAlign w:val="center"/>
          </w:tcPr>
          <w:p>
            <w:pPr>
              <w:widowControl/>
              <w:ind w:firstLine="960" w:firstLineChars="4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财政预算安排</w:t>
            </w:r>
          </w:p>
        </w:tc>
        <w:tc>
          <w:tcPr>
            <w:tcW w:w="33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48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（二）专项债券</w:t>
            </w:r>
          </w:p>
        </w:tc>
        <w:tc>
          <w:tcPr>
            <w:tcW w:w="33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34238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480" w:type="dxa"/>
            <w:shd w:val="clear" w:color="auto" w:fill="auto"/>
            <w:vAlign w:val="center"/>
          </w:tcPr>
          <w:p>
            <w:pPr>
              <w:widowControl/>
              <w:ind w:firstLine="480" w:firstLineChars="2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其中：再融资</w:t>
            </w:r>
          </w:p>
        </w:tc>
        <w:tc>
          <w:tcPr>
            <w:tcW w:w="33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480" w:type="dxa"/>
            <w:shd w:val="clear" w:color="auto" w:fill="auto"/>
            <w:vAlign w:val="center"/>
          </w:tcPr>
          <w:p>
            <w:pPr>
              <w:widowControl/>
              <w:ind w:firstLine="960" w:firstLineChars="40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财政预算安排</w:t>
            </w:r>
          </w:p>
        </w:tc>
        <w:tc>
          <w:tcPr>
            <w:tcW w:w="33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48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五、2023年付息预算数</w:t>
            </w:r>
          </w:p>
        </w:tc>
        <w:tc>
          <w:tcPr>
            <w:tcW w:w="33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24815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48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（一）一般债券</w:t>
            </w:r>
          </w:p>
        </w:tc>
        <w:tc>
          <w:tcPr>
            <w:tcW w:w="33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548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（二）专项债券</w:t>
            </w:r>
          </w:p>
        </w:tc>
        <w:tc>
          <w:tcPr>
            <w:tcW w:w="336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18491</w:t>
            </w:r>
          </w:p>
        </w:tc>
      </w:tr>
    </w:tbl>
    <w:p>
      <w:pPr>
        <w:spacing w:line="600" w:lineRule="exact"/>
        <w:jc w:val="center"/>
        <w:rPr>
          <w:rFonts w:ascii="Times New Roman" w:hAnsi="Times New Roman" w:eastAsia="方正小标宋简体" w:cs="Times New Roman"/>
          <w:color w:val="000000" w:themeColor="text1"/>
          <w:spacing w:val="-6"/>
          <w:kern w:val="0"/>
          <w:sz w:val="44"/>
          <w:szCs w:val="44"/>
        </w:rPr>
      </w:pPr>
      <w:bookmarkStart w:id="20" w:name="RANGE!A1:G11"/>
      <w:r>
        <w:rPr>
          <w:rFonts w:ascii="Times New Roman" w:hAnsi="Times New Roman" w:eastAsia="方正小标宋简体" w:cs="Times New Roman"/>
          <w:color w:val="000000"/>
          <w:kern w:val="0"/>
          <w:sz w:val="44"/>
          <w:szCs w:val="44"/>
        </w:rPr>
        <w:t>2023年“三公”经费预算表</w:t>
      </w:r>
      <w:bookmarkEnd w:id="20"/>
    </w:p>
    <w:p>
      <w:pPr>
        <w:rPr>
          <w:rFonts w:ascii="Times New Roman" w:hAnsi="Times New Roman" w:eastAsia="楷体_GB2312" w:cs="Times New Roman"/>
          <w:color w:val="000000" w:themeColor="text1"/>
          <w:kern w:val="0"/>
          <w:sz w:val="24"/>
          <w:szCs w:val="24"/>
        </w:rPr>
      </w:pPr>
    </w:p>
    <w:p>
      <w:pPr>
        <w:rPr>
          <w:rFonts w:ascii="Times New Roman" w:hAnsi="Times New Roman" w:cs="Times New Roman"/>
          <w:color w:val="000000" w:themeColor="text1"/>
        </w:rPr>
      </w:pPr>
      <w:r>
        <w:rPr>
          <w:rFonts w:ascii="Times New Roman" w:hAnsi="Times New Roman" w:eastAsia="楷体_GB2312" w:cs="Times New Roman"/>
          <w:color w:val="000000" w:themeColor="text1"/>
          <w:kern w:val="0"/>
          <w:sz w:val="24"/>
          <w:szCs w:val="24"/>
        </w:rPr>
        <w:t>表二十九                                                      单位：万元</w:t>
      </w:r>
    </w:p>
    <w:tbl>
      <w:tblPr>
        <w:tblStyle w:val="7"/>
        <w:tblW w:w="91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61"/>
        <w:gridCol w:w="1045"/>
        <w:gridCol w:w="961"/>
        <w:gridCol w:w="960"/>
        <w:gridCol w:w="961"/>
        <w:gridCol w:w="960"/>
        <w:gridCol w:w="9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3261"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2006" w:type="dxa"/>
            <w:gridSpan w:val="2"/>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2022年预算数</w:t>
            </w:r>
          </w:p>
        </w:tc>
        <w:tc>
          <w:tcPr>
            <w:tcW w:w="1921" w:type="dxa"/>
            <w:gridSpan w:val="2"/>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2023年预算数</w:t>
            </w:r>
          </w:p>
        </w:tc>
        <w:tc>
          <w:tcPr>
            <w:tcW w:w="1921" w:type="dxa"/>
            <w:gridSpan w:val="2"/>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比上年±%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3" w:hRule="atLeast"/>
          <w:jc w:val="center"/>
        </w:trPr>
        <w:tc>
          <w:tcPr>
            <w:tcW w:w="3261" w:type="dxa"/>
            <w:vMerge w:val="continue"/>
            <w:vAlign w:val="center"/>
          </w:tcPr>
          <w:p>
            <w:pPr>
              <w:widowControl/>
              <w:jc w:val="left"/>
              <w:rPr>
                <w:rFonts w:ascii="Times New Roman" w:hAnsi="Times New Roman" w:eastAsia="黑体" w:cs="Times New Roman"/>
                <w:color w:val="000000"/>
                <w:kern w:val="0"/>
                <w:sz w:val="24"/>
                <w:szCs w:val="24"/>
              </w:rPr>
            </w:pPr>
          </w:p>
        </w:tc>
        <w:tc>
          <w:tcPr>
            <w:tcW w:w="1045"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合计</w:t>
            </w:r>
          </w:p>
        </w:tc>
        <w:tc>
          <w:tcPr>
            <w:tcW w:w="961"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其中一般公共财政预算拨款</w:t>
            </w:r>
          </w:p>
        </w:tc>
        <w:tc>
          <w:tcPr>
            <w:tcW w:w="960"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合计</w:t>
            </w:r>
          </w:p>
        </w:tc>
        <w:tc>
          <w:tcPr>
            <w:tcW w:w="961"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其中一般公共财政预算拨款</w:t>
            </w:r>
          </w:p>
        </w:tc>
        <w:tc>
          <w:tcPr>
            <w:tcW w:w="960"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合计</w:t>
            </w:r>
          </w:p>
        </w:tc>
        <w:tc>
          <w:tcPr>
            <w:tcW w:w="961"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其中一般公共财政预算拨款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jc w:val="center"/>
        </w:trPr>
        <w:tc>
          <w:tcPr>
            <w:tcW w:w="326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合计</w:t>
            </w:r>
          </w:p>
        </w:tc>
        <w:tc>
          <w:tcPr>
            <w:tcW w:w="1045"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3734</w:t>
            </w:r>
          </w:p>
        </w:tc>
        <w:tc>
          <w:tcPr>
            <w:tcW w:w="96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3003</w:t>
            </w:r>
          </w:p>
        </w:tc>
        <w:tc>
          <w:tcPr>
            <w:tcW w:w="96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3734</w:t>
            </w:r>
          </w:p>
        </w:tc>
        <w:tc>
          <w:tcPr>
            <w:tcW w:w="96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3003</w:t>
            </w:r>
          </w:p>
        </w:tc>
        <w:tc>
          <w:tcPr>
            <w:tcW w:w="96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96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jc w:val="center"/>
        </w:trPr>
        <w:tc>
          <w:tcPr>
            <w:tcW w:w="3261"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1.因公出国（境）费</w:t>
            </w:r>
          </w:p>
        </w:tc>
        <w:tc>
          <w:tcPr>
            <w:tcW w:w="1045"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96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w:t>
            </w:r>
          </w:p>
        </w:tc>
        <w:tc>
          <w:tcPr>
            <w:tcW w:w="96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96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w:t>
            </w:r>
          </w:p>
        </w:tc>
        <w:tc>
          <w:tcPr>
            <w:tcW w:w="96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96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jc w:val="center"/>
        </w:trPr>
        <w:tc>
          <w:tcPr>
            <w:tcW w:w="3261"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2.公务接待费</w:t>
            </w:r>
          </w:p>
        </w:tc>
        <w:tc>
          <w:tcPr>
            <w:tcW w:w="1045"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1800</w:t>
            </w:r>
          </w:p>
        </w:tc>
        <w:tc>
          <w:tcPr>
            <w:tcW w:w="96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1389</w:t>
            </w:r>
          </w:p>
        </w:tc>
        <w:tc>
          <w:tcPr>
            <w:tcW w:w="96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1800</w:t>
            </w:r>
          </w:p>
        </w:tc>
        <w:tc>
          <w:tcPr>
            <w:tcW w:w="96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1389</w:t>
            </w:r>
          </w:p>
        </w:tc>
        <w:tc>
          <w:tcPr>
            <w:tcW w:w="96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96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jc w:val="center"/>
        </w:trPr>
        <w:tc>
          <w:tcPr>
            <w:tcW w:w="3261"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3.公务用车购置及运行费</w:t>
            </w:r>
          </w:p>
        </w:tc>
        <w:tc>
          <w:tcPr>
            <w:tcW w:w="1045"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1890</w:t>
            </w:r>
          </w:p>
        </w:tc>
        <w:tc>
          <w:tcPr>
            <w:tcW w:w="96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1575</w:t>
            </w:r>
          </w:p>
        </w:tc>
        <w:tc>
          <w:tcPr>
            <w:tcW w:w="96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1890</w:t>
            </w:r>
          </w:p>
        </w:tc>
        <w:tc>
          <w:tcPr>
            <w:tcW w:w="96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1575</w:t>
            </w:r>
          </w:p>
        </w:tc>
        <w:tc>
          <w:tcPr>
            <w:tcW w:w="96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96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jc w:val="center"/>
        </w:trPr>
        <w:tc>
          <w:tcPr>
            <w:tcW w:w="3261"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其中：公务用车购置费</w:t>
            </w:r>
          </w:p>
        </w:tc>
        <w:tc>
          <w:tcPr>
            <w:tcW w:w="1045"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630</w:t>
            </w:r>
          </w:p>
        </w:tc>
        <w:tc>
          <w:tcPr>
            <w:tcW w:w="96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450</w:t>
            </w:r>
          </w:p>
        </w:tc>
        <w:tc>
          <w:tcPr>
            <w:tcW w:w="96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630</w:t>
            </w:r>
          </w:p>
        </w:tc>
        <w:tc>
          <w:tcPr>
            <w:tcW w:w="96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450</w:t>
            </w:r>
          </w:p>
        </w:tc>
        <w:tc>
          <w:tcPr>
            <w:tcW w:w="96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96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jc w:val="center"/>
        </w:trPr>
        <w:tc>
          <w:tcPr>
            <w:tcW w:w="3261" w:type="dxa"/>
            <w:shd w:val="clear" w:color="auto" w:fill="auto"/>
            <w:vAlign w:val="center"/>
          </w:tcPr>
          <w:p>
            <w:pPr>
              <w:widowControl/>
              <w:ind w:firstLine="720" w:firstLineChars="30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公务用车运行费</w:t>
            </w:r>
          </w:p>
        </w:tc>
        <w:tc>
          <w:tcPr>
            <w:tcW w:w="1045"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1260</w:t>
            </w:r>
          </w:p>
        </w:tc>
        <w:tc>
          <w:tcPr>
            <w:tcW w:w="96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1125</w:t>
            </w:r>
          </w:p>
        </w:tc>
        <w:tc>
          <w:tcPr>
            <w:tcW w:w="96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1260</w:t>
            </w:r>
          </w:p>
        </w:tc>
        <w:tc>
          <w:tcPr>
            <w:tcW w:w="96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1125</w:t>
            </w:r>
          </w:p>
        </w:tc>
        <w:tc>
          <w:tcPr>
            <w:tcW w:w="96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96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r>
    </w:tbl>
    <w:p>
      <w:pPr>
        <w:widowControl/>
        <w:spacing w:line="440" w:lineRule="exact"/>
        <w:ind w:firstLine="480" w:firstLineChars="200"/>
        <w:rPr>
          <w:rFonts w:hint="eastAsia" w:eastAsia="仿宋_GB2312"/>
          <w:sz w:val="24"/>
        </w:rPr>
      </w:pPr>
    </w:p>
    <w:p>
      <w:pPr>
        <w:widowControl/>
        <w:spacing w:line="440" w:lineRule="exact"/>
        <w:ind w:firstLine="480" w:firstLineChars="200"/>
        <w:rPr>
          <w:rFonts w:hint="eastAsia" w:eastAsia="仿宋_GB2312"/>
          <w:sz w:val="24"/>
        </w:rPr>
      </w:pPr>
    </w:p>
    <w:p>
      <w:pPr>
        <w:widowControl/>
        <w:spacing w:line="440" w:lineRule="exact"/>
        <w:ind w:firstLine="480" w:firstLineChars="200"/>
        <w:rPr>
          <w:rFonts w:hint="eastAsia" w:eastAsia="仿宋_GB2312"/>
          <w:sz w:val="24"/>
        </w:rPr>
      </w:pPr>
    </w:p>
    <w:p>
      <w:pPr>
        <w:widowControl/>
        <w:spacing w:line="440" w:lineRule="exact"/>
        <w:ind w:firstLine="480" w:firstLineChars="200"/>
        <w:rPr>
          <w:rFonts w:hint="eastAsia" w:eastAsia="仿宋_GB2312"/>
          <w:sz w:val="24"/>
        </w:rPr>
      </w:pPr>
    </w:p>
    <w:p>
      <w:pPr>
        <w:widowControl/>
        <w:spacing w:line="440" w:lineRule="exact"/>
        <w:ind w:firstLine="480" w:firstLineChars="200"/>
        <w:rPr>
          <w:rFonts w:hint="eastAsia" w:eastAsia="仿宋_GB2312"/>
          <w:sz w:val="24"/>
        </w:rPr>
      </w:pPr>
    </w:p>
    <w:p>
      <w:pPr>
        <w:widowControl/>
        <w:spacing w:line="440" w:lineRule="exact"/>
        <w:ind w:firstLine="480" w:firstLineChars="200"/>
        <w:rPr>
          <w:rFonts w:hint="eastAsia" w:eastAsia="仿宋_GB2312"/>
          <w:sz w:val="24"/>
        </w:rPr>
      </w:pPr>
    </w:p>
    <w:p>
      <w:pPr>
        <w:widowControl/>
        <w:spacing w:line="440" w:lineRule="exact"/>
        <w:ind w:firstLine="480" w:firstLineChars="200"/>
        <w:rPr>
          <w:rFonts w:hint="eastAsia" w:eastAsia="仿宋_GB2312"/>
          <w:sz w:val="24"/>
        </w:rPr>
      </w:pPr>
    </w:p>
    <w:p>
      <w:pPr>
        <w:widowControl/>
        <w:spacing w:line="440" w:lineRule="exact"/>
        <w:ind w:firstLine="480" w:firstLineChars="200"/>
        <w:rPr>
          <w:rFonts w:hint="eastAsia" w:eastAsia="仿宋_GB2312"/>
          <w:sz w:val="24"/>
        </w:rPr>
      </w:pPr>
    </w:p>
    <w:p>
      <w:pPr>
        <w:widowControl/>
        <w:spacing w:line="440" w:lineRule="exact"/>
        <w:ind w:firstLine="480" w:firstLineChars="200"/>
        <w:rPr>
          <w:rFonts w:hint="eastAsia" w:eastAsia="仿宋_GB2312"/>
          <w:sz w:val="24"/>
        </w:rPr>
      </w:pPr>
    </w:p>
    <w:p>
      <w:pPr>
        <w:widowControl/>
        <w:spacing w:line="440" w:lineRule="exact"/>
        <w:ind w:firstLine="480" w:firstLineChars="200"/>
        <w:rPr>
          <w:rFonts w:hint="eastAsia" w:eastAsia="仿宋_GB2312"/>
          <w:sz w:val="24"/>
        </w:rPr>
      </w:pPr>
    </w:p>
    <w:p>
      <w:pPr>
        <w:widowControl/>
        <w:spacing w:line="440" w:lineRule="exact"/>
        <w:ind w:firstLine="480" w:firstLineChars="200"/>
        <w:rPr>
          <w:rFonts w:hint="eastAsia" w:eastAsia="仿宋_GB2312"/>
          <w:sz w:val="24"/>
        </w:rPr>
      </w:pPr>
    </w:p>
    <w:p>
      <w:pPr>
        <w:widowControl/>
        <w:spacing w:line="440" w:lineRule="exact"/>
        <w:ind w:firstLine="480" w:firstLineChars="200"/>
        <w:rPr>
          <w:rFonts w:hint="eastAsia" w:eastAsia="仿宋_GB2312"/>
          <w:sz w:val="24"/>
        </w:rPr>
      </w:pPr>
    </w:p>
    <w:p>
      <w:pPr>
        <w:widowControl/>
        <w:spacing w:line="440" w:lineRule="exact"/>
        <w:ind w:firstLine="480" w:firstLineChars="200"/>
        <w:rPr>
          <w:rFonts w:hint="eastAsia" w:eastAsia="仿宋_GB2312"/>
          <w:sz w:val="24"/>
        </w:rPr>
      </w:pPr>
    </w:p>
    <w:p>
      <w:pPr>
        <w:spacing w:line="600" w:lineRule="exact"/>
        <w:jc w:val="center"/>
        <w:rPr>
          <w:rFonts w:hint="default" w:ascii="Times New Roman" w:hAnsi="Times New Roman" w:eastAsia="方正小标宋简体" w:cs="Times New Roman"/>
          <w:color w:val="000000" w:themeColor="text1"/>
          <w:spacing w:val="-6"/>
          <w:kern w:val="0"/>
          <w:sz w:val="44"/>
          <w:szCs w:val="44"/>
          <w:lang w:val="en-US" w:eastAsia="zh-CN"/>
        </w:rPr>
      </w:pPr>
      <w:r>
        <w:rPr>
          <w:rFonts w:hint="eastAsia" w:ascii="Times New Roman" w:hAnsi="Times New Roman" w:eastAsia="方正小标宋简体" w:cs="Times New Roman"/>
          <w:color w:val="000000"/>
          <w:kern w:val="0"/>
          <w:sz w:val="44"/>
          <w:szCs w:val="44"/>
          <w:lang w:val="en-US" w:eastAsia="zh-CN"/>
        </w:rPr>
        <w:t>关于</w:t>
      </w:r>
      <w:r>
        <w:rPr>
          <w:rFonts w:ascii="Times New Roman" w:hAnsi="Times New Roman" w:eastAsia="方正小标宋简体" w:cs="Times New Roman"/>
          <w:color w:val="000000"/>
          <w:kern w:val="0"/>
          <w:sz w:val="44"/>
          <w:szCs w:val="44"/>
        </w:rPr>
        <w:t>2023年“三公”经费预算</w:t>
      </w:r>
      <w:r>
        <w:rPr>
          <w:rFonts w:hint="eastAsia" w:ascii="Times New Roman" w:hAnsi="Times New Roman" w:eastAsia="方正小标宋简体" w:cs="Times New Roman"/>
          <w:color w:val="000000"/>
          <w:kern w:val="0"/>
          <w:sz w:val="44"/>
          <w:szCs w:val="44"/>
          <w:lang w:val="en-US" w:eastAsia="zh-CN"/>
        </w:rPr>
        <w:t>的情况说明</w:t>
      </w:r>
    </w:p>
    <w:p>
      <w:pPr>
        <w:widowControl/>
        <w:spacing w:line="440" w:lineRule="exact"/>
        <w:ind w:firstLine="480" w:firstLineChars="200"/>
        <w:rPr>
          <w:rFonts w:hint="eastAsia" w:eastAsia="仿宋_GB2312"/>
          <w:sz w:val="24"/>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“三公”经费包括因公出国（境）费、公务接待费和公务用车购置及运行费。20</w:t>
      </w:r>
      <w:r>
        <w:rPr>
          <w:rFonts w:hint="eastAsia" w:ascii="仿宋" w:hAnsi="仿宋" w:eastAsia="仿宋" w:cs="仿宋"/>
          <w:sz w:val="32"/>
          <w:szCs w:val="32"/>
          <w:lang w:val="en-US" w:eastAsia="zh-CN"/>
        </w:rPr>
        <w:t>23</w:t>
      </w:r>
      <w:r>
        <w:rPr>
          <w:rFonts w:hint="eastAsia" w:ascii="仿宋" w:hAnsi="仿宋" w:eastAsia="仿宋" w:cs="仿宋"/>
          <w:sz w:val="32"/>
          <w:szCs w:val="32"/>
        </w:rPr>
        <w:t>年，全市“三公”经费支出预算</w:t>
      </w:r>
      <w:r>
        <w:rPr>
          <w:rFonts w:hint="eastAsia" w:ascii="仿宋" w:hAnsi="仿宋" w:eastAsia="仿宋" w:cs="仿宋"/>
          <w:sz w:val="32"/>
          <w:szCs w:val="32"/>
          <w:lang w:val="en-US" w:eastAsia="zh-CN"/>
        </w:rPr>
        <w:t>3734</w:t>
      </w:r>
      <w:r>
        <w:rPr>
          <w:rFonts w:hint="eastAsia" w:ascii="仿宋" w:hAnsi="仿宋" w:eastAsia="仿宋" w:cs="仿宋"/>
          <w:sz w:val="32"/>
          <w:szCs w:val="32"/>
        </w:rPr>
        <w:t>万元，与上年预算持平，其中一般公共预算安排</w:t>
      </w:r>
      <w:r>
        <w:rPr>
          <w:rFonts w:hint="eastAsia" w:ascii="仿宋" w:hAnsi="仿宋" w:eastAsia="仿宋" w:cs="仿宋"/>
          <w:sz w:val="32"/>
          <w:szCs w:val="32"/>
          <w:lang w:val="en-US" w:eastAsia="zh-CN"/>
        </w:rPr>
        <w:t>3003</w:t>
      </w:r>
      <w:r>
        <w:rPr>
          <w:rFonts w:hint="eastAsia" w:ascii="仿宋" w:hAnsi="仿宋" w:eastAsia="仿宋" w:cs="仿宋"/>
          <w:sz w:val="32"/>
          <w:szCs w:val="32"/>
        </w:rPr>
        <w:t>万元，与上年预算持平。</w:t>
      </w:r>
      <w:bookmarkStart w:id="22" w:name="_GoBack"/>
      <w:bookmarkEnd w:id="22"/>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rPr>
        <w:t>因公出国（境）费</w:t>
      </w:r>
      <w:r>
        <w:rPr>
          <w:rFonts w:hint="eastAsia" w:ascii="仿宋" w:hAnsi="仿宋" w:eastAsia="仿宋" w:cs="仿宋"/>
          <w:sz w:val="32"/>
          <w:szCs w:val="32"/>
        </w:rPr>
        <w:t>支出预算</w:t>
      </w:r>
      <w:r>
        <w:rPr>
          <w:rFonts w:hint="eastAsia" w:ascii="仿宋" w:hAnsi="仿宋" w:eastAsia="仿宋" w:cs="仿宋"/>
          <w:sz w:val="32"/>
          <w:szCs w:val="32"/>
          <w:lang w:val="en-US" w:eastAsia="zh-CN"/>
        </w:rPr>
        <w:t>44</w:t>
      </w:r>
      <w:r>
        <w:rPr>
          <w:rFonts w:hint="eastAsia" w:ascii="仿宋" w:hAnsi="仿宋" w:eastAsia="仿宋" w:cs="仿宋"/>
          <w:sz w:val="32"/>
          <w:szCs w:val="32"/>
        </w:rPr>
        <w:t>万元，与上年预算持平，其中一般公共预算安排</w:t>
      </w:r>
      <w:r>
        <w:rPr>
          <w:rFonts w:hint="eastAsia" w:ascii="仿宋" w:hAnsi="仿宋" w:eastAsia="仿宋" w:cs="仿宋"/>
          <w:sz w:val="32"/>
          <w:szCs w:val="32"/>
          <w:lang w:val="en-US" w:eastAsia="zh-CN"/>
        </w:rPr>
        <w:t>39</w:t>
      </w:r>
      <w:r>
        <w:rPr>
          <w:rFonts w:hint="eastAsia" w:ascii="仿宋" w:hAnsi="仿宋" w:eastAsia="仿宋" w:cs="仿宋"/>
          <w:sz w:val="32"/>
          <w:szCs w:val="32"/>
        </w:rPr>
        <w:t>万元，与上年预算持平；</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公务接待费支出预算</w:t>
      </w:r>
      <w:r>
        <w:rPr>
          <w:rFonts w:hint="eastAsia" w:ascii="仿宋" w:hAnsi="仿宋" w:eastAsia="仿宋" w:cs="仿宋"/>
          <w:sz w:val="32"/>
          <w:szCs w:val="32"/>
          <w:lang w:val="en-US" w:eastAsia="zh-CN"/>
        </w:rPr>
        <w:t>1800</w:t>
      </w:r>
      <w:r>
        <w:rPr>
          <w:rFonts w:hint="eastAsia" w:ascii="仿宋" w:hAnsi="仿宋" w:eastAsia="仿宋" w:cs="仿宋"/>
          <w:sz w:val="32"/>
          <w:szCs w:val="32"/>
        </w:rPr>
        <w:t>万元，</w:t>
      </w:r>
      <w:r>
        <w:rPr>
          <w:rFonts w:hint="eastAsia" w:ascii="仿宋" w:hAnsi="仿宋" w:eastAsia="仿宋" w:cs="仿宋"/>
          <w:sz w:val="32"/>
          <w:szCs w:val="32"/>
          <w:lang w:eastAsia="zh-CN"/>
        </w:rPr>
        <w:t>与上年预算持平</w:t>
      </w:r>
      <w:r>
        <w:rPr>
          <w:rFonts w:hint="eastAsia" w:ascii="仿宋" w:hAnsi="仿宋" w:eastAsia="仿宋" w:cs="仿宋"/>
          <w:sz w:val="32"/>
          <w:szCs w:val="32"/>
        </w:rPr>
        <w:t>，其中一般公共预算安排</w:t>
      </w:r>
      <w:r>
        <w:rPr>
          <w:rFonts w:hint="eastAsia" w:ascii="仿宋" w:hAnsi="仿宋" w:eastAsia="仿宋" w:cs="仿宋"/>
          <w:sz w:val="32"/>
          <w:szCs w:val="32"/>
          <w:lang w:val="en-US" w:eastAsia="zh-CN"/>
        </w:rPr>
        <w:t>1389</w:t>
      </w:r>
      <w:r>
        <w:rPr>
          <w:rFonts w:hint="eastAsia" w:ascii="仿宋" w:hAnsi="仿宋" w:eastAsia="仿宋" w:cs="仿宋"/>
          <w:sz w:val="32"/>
          <w:szCs w:val="32"/>
        </w:rPr>
        <w:t>万元，</w:t>
      </w:r>
      <w:r>
        <w:rPr>
          <w:rFonts w:hint="eastAsia" w:ascii="仿宋" w:hAnsi="仿宋" w:eastAsia="仿宋" w:cs="仿宋"/>
          <w:sz w:val="32"/>
          <w:szCs w:val="32"/>
          <w:lang w:eastAsia="zh-CN"/>
        </w:rPr>
        <w:t>与上年预算持平</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公务用车购置及运行费支出预算</w:t>
      </w:r>
      <w:r>
        <w:rPr>
          <w:rFonts w:hint="eastAsia" w:ascii="仿宋" w:hAnsi="仿宋" w:eastAsia="仿宋" w:cs="仿宋"/>
          <w:sz w:val="32"/>
          <w:szCs w:val="32"/>
          <w:lang w:val="en-US" w:eastAsia="zh-CN"/>
        </w:rPr>
        <w:t>1890</w:t>
      </w:r>
      <w:r>
        <w:rPr>
          <w:rFonts w:hint="eastAsia" w:ascii="仿宋" w:hAnsi="仿宋" w:eastAsia="仿宋" w:cs="仿宋"/>
          <w:sz w:val="32"/>
          <w:szCs w:val="32"/>
        </w:rPr>
        <w:t>万元，</w:t>
      </w:r>
      <w:r>
        <w:rPr>
          <w:rFonts w:hint="eastAsia" w:ascii="仿宋" w:hAnsi="仿宋" w:eastAsia="仿宋" w:cs="仿宋"/>
          <w:sz w:val="32"/>
          <w:szCs w:val="32"/>
          <w:lang w:eastAsia="zh-CN"/>
        </w:rPr>
        <w:t>与上年预算持平</w:t>
      </w:r>
      <w:r>
        <w:rPr>
          <w:rFonts w:hint="eastAsia" w:ascii="仿宋" w:hAnsi="仿宋" w:eastAsia="仿宋" w:cs="仿宋"/>
          <w:sz w:val="32"/>
          <w:szCs w:val="32"/>
        </w:rPr>
        <w:t>。其中公务用车购置费支出预算</w:t>
      </w:r>
      <w:r>
        <w:rPr>
          <w:rFonts w:hint="eastAsia" w:ascii="仿宋" w:hAnsi="仿宋" w:eastAsia="仿宋" w:cs="仿宋"/>
          <w:sz w:val="32"/>
          <w:szCs w:val="32"/>
          <w:lang w:val="en-US" w:eastAsia="zh-CN"/>
        </w:rPr>
        <w:t>630</w:t>
      </w:r>
      <w:r>
        <w:rPr>
          <w:rFonts w:hint="eastAsia" w:ascii="仿宋" w:hAnsi="仿宋" w:eastAsia="仿宋" w:cs="仿宋"/>
          <w:sz w:val="32"/>
          <w:szCs w:val="32"/>
        </w:rPr>
        <w:t>万元</w:t>
      </w:r>
      <w:r>
        <w:rPr>
          <w:rFonts w:hint="eastAsia" w:ascii="仿宋" w:hAnsi="仿宋" w:eastAsia="仿宋" w:cs="仿宋"/>
          <w:sz w:val="32"/>
          <w:szCs w:val="32"/>
          <w:lang w:eastAsia="zh-CN"/>
        </w:rPr>
        <w:t>，与上年预算持平</w:t>
      </w:r>
      <w:r>
        <w:rPr>
          <w:rFonts w:hint="eastAsia" w:ascii="仿宋" w:hAnsi="仿宋" w:eastAsia="仿宋" w:cs="仿宋"/>
          <w:sz w:val="32"/>
          <w:szCs w:val="32"/>
        </w:rPr>
        <w:t>；公务用车运行费支出预算</w:t>
      </w:r>
      <w:r>
        <w:rPr>
          <w:rFonts w:hint="eastAsia" w:ascii="仿宋" w:hAnsi="仿宋" w:eastAsia="仿宋" w:cs="仿宋"/>
          <w:sz w:val="32"/>
          <w:szCs w:val="32"/>
          <w:lang w:val="en-US" w:eastAsia="zh-CN"/>
        </w:rPr>
        <w:t>1260</w:t>
      </w:r>
      <w:r>
        <w:rPr>
          <w:rFonts w:hint="eastAsia" w:ascii="仿宋" w:hAnsi="仿宋" w:eastAsia="仿宋" w:cs="仿宋"/>
          <w:sz w:val="32"/>
          <w:szCs w:val="32"/>
        </w:rPr>
        <w:t>万元，与上年预算持平。</w:t>
      </w:r>
    </w:p>
    <w:p>
      <w:pPr>
        <w:spacing w:line="600" w:lineRule="exact"/>
        <w:jc w:val="both"/>
        <w:rPr>
          <w:rFonts w:ascii="Times New Roman" w:hAnsi="Times New Roman" w:eastAsia="方正小标宋简体" w:cs="Times New Roman"/>
          <w:color w:val="000000" w:themeColor="text1"/>
          <w:spacing w:val="-6"/>
          <w:kern w:val="0"/>
          <w:sz w:val="44"/>
          <w:szCs w:val="44"/>
        </w:rPr>
      </w:pPr>
    </w:p>
    <w:p>
      <w:pPr>
        <w:spacing w:line="600" w:lineRule="exact"/>
        <w:jc w:val="both"/>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sectPr>
          <w:pgSz w:w="11907" w:h="16840"/>
          <w:pgMar w:top="1701" w:right="1588" w:bottom="1588" w:left="1588" w:header="964" w:footer="992" w:gutter="0"/>
          <w:pgNumType w:start="1"/>
          <w:cols w:space="425" w:num="1"/>
          <w:docGrid w:type="lines" w:linePitch="312" w:charSpace="0"/>
        </w:sectPr>
      </w:pPr>
    </w:p>
    <w:p>
      <w:pPr>
        <w:spacing w:line="560" w:lineRule="exact"/>
        <w:jc w:val="center"/>
        <w:rPr>
          <w:rFonts w:ascii="Times New Roman" w:hAnsi="Times New Roman" w:cs="Times New Roman"/>
        </w:rPr>
      </w:pPr>
      <w:bookmarkStart w:id="21" w:name="RANGE!A1:L27"/>
      <w:r>
        <w:rPr>
          <w:rFonts w:ascii="Times New Roman" w:hAnsi="Times New Roman" w:eastAsia="方正小标宋简体" w:cs="Times New Roman"/>
          <w:color w:val="000000"/>
          <w:kern w:val="0"/>
          <w:sz w:val="44"/>
          <w:szCs w:val="44"/>
        </w:rPr>
        <w:t>2023年政府重大投资项目资金安排情况表</w:t>
      </w:r>
      <w:bookmarkEnd w:id="21"/>
    </w:p>
    <w:p>
      <w:pPr>
        <w:rPr>
          <w:rFonts w:ascii="Times New Roman" w:hAnsi="Times New Roman" w:eastAsia="楷体_GB2312" w:cs="Times New Roman"/>
          <w:color w:val="000000" w:themeColor="text1"/>
          <w:kern w:val="0"/>
          <w:sz w:val="24"/>
          <w:szCs w:val="24"/>
        </w:rPr>
      </w:pPr>
    </w:p>
    <w:p>
      <w:pPr>
        <w:rPr>
          <w:rFonts w:ascii="Times New Roman" w:hAnsi="Times New Roman" w:cs="Times New Roman"/>
        </w:rPr>
      </w:pPr>
      <w:r>
        <w:rPr>
          <w:rFonts w:ascii="Times New Roman" w:hAnsi="Times New Roman" w:eastAsia="楷体_GB2312" w:cs="Times New Roman"/>
          <w:color w:val="000000" w:themeColor="text1"/>
          <w:kern w:val="0"/>
          <w:sz w:val="24"/>
          <w:szCs w:val="24"/>
        </w:rPr>
        <w:t>表三十</w:t>
      </w:r>
      <w:r>
        <w:rPr>
          <w:rFonts w:hint="eastAsia" w:ascii="Times New Roman" w:hAnsi="Times New Roman" w:eastAsia="楷体_GB2312" w:cs="Times New Roman"/>
          <w:color w:val="000000" w:themeColor="text1"/>
          <w:kern w:val="0"/>
          <w:sz w:val="24"/>
          <w:szCs w:val="24"/>
        </w:rPr>
        <w:t xml:space="preserve">  </w:t>
      </w:r>
      <w:r>
        <w:rPr>
          <w:rFonts w:ascii="Times New Roman" w:hAnsi="Times New Roman" w:eastAsia="楷体_GB2312" w:cs="Times New Roman"/>
          <w:color w:val="000000" w:themeColor="text1"/>
          <w:kern w:val="0"/>
          <w:sz w:val="24"/>
          <w:szCs w:val="24"/>
        </w:rPr>
        <w:t xml:space="preserve">                                                                                       单位：万元</w:t>
      </w:r>
    </w:p>
    <w:tbl>
      <w:tblPr>
        <w:tblStyle w:val="7"/>
        <w:tblW w:w="14558" w:type="dxa"/>
        <w:jc w:val="center"/>
        <w:tblLayout w:type="fixed"/>
        <w:tblCellMar>
          <w:top w:w="0" w:type="dxa"/>
          <w:left w:w="28" w:type="dxa"/>
          <w:bottom w:w="0" w:type="dxa"/>
          <w:right w:w="28" w:type="dxa"/>
        </w:tblCellMar>
      </w:tblPr>
      <w:tblGrid>
        <w:gridCol w:w="476"/>
        <w:gridCol w:w="1442"/>
        <w:gridCol w:w="838"/>
        <w:gridCol w:w="2018"/>
        <w:gridCol w:w="980"/>
        <w:gridCol w:w="811"/>
        <w:gridCol w:w="1036"/>
        <w:gridCol w:w="882"/>
        <w:gridCol w:w="938"/>
        <w:gridCol w:w="980"/>
        <w:gridCol w:w="2029"/>
        <w:gridCol w:w="2128"/>
      </w:tblGrid>
      <w:tr>
        <w:tblPrEx>
          <w:tblCellMar>
            <w:top w:w="0" w:type="dxa"/>
            <w:left w:w="28" w:type="dxa"/>
            <w:bottom w:w="0" w:type="dxa"/>
            <w:right w:w="28" w:type="dxa"/>
          </w:tblCellMar>
        </w:tblPrEx>
        <w:trPr>
          <w:tblHeader/>
          <w:jc w:val="center"/>
        </w:trPr>
        <w:tc>
          <w:tcPr>
            <w:tcW w:w="476" w:type="dxa"/>
            <w:vMerge w:val="restart"/>
            <w:tcBorders>
              <w:top w:val="single" w:color="auto" w:sz="12" w:space="0"/>
              <w:left w:val="single" w:color="auto" w:sz="12" w:space="0"/>
              <w:bottom w:val="single" w:color="auto" w:sz="6" w:space="0"/>
              <w:right w:val="single" w:color="auto" w:sz="6" w:space="0"/>
            </w:tcBorders>
            <w:shd w:val="clear" w:color="auto" w:fill="auto"/>
            <w:vAlign w:val="center"/>
          </w:tcPr>
          <w:p>
            <w:pPr>
              <w:widowControl/>
              <w:spacing w:line="300" w:lineRule="exact"/>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序</w:t>
            </w:r>
          </w:p>
          <w:p>
            <w:pPr>
              <w:widowControl/>
              <w:spacing w:line="300" w:lineRule="exact"/>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号</w:t>
            </w:r>
          </w:p>
        </w:tc>
        <w:tc>
          <w:tcPr>
            <w:tcW w:w="1442"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项目名称</w:t>
            </w:r>
          </w:p>
        </w:tc>
        <w:tc>
          <w:tcPr>
            <w:tcW w:w="838"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投资</w:t>
            </w:r>
          </w:p>
          <w:p>
            <w:pPr>
              <w:widowControl/>
              <w:spacing w:line="300" w:lineRule="exact"/>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主体</w:t>
            </w:r>
          </w:p>
        </w:tc>
        <w:tc>
          <w:tcPr>
            <w:tcW w:w="2018"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建设规模及内容</w:t>
            </w:r>
          </w:p>
        </w:tc>
        <w:tc>
          <w:tcPr>
            <w:tcW w:w="980"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建设起止</w:t>
            </w:r>
          </w:p>
          <w:p>
            <w:pPr>
              <w:widowControl/>
              <w:spacing w:line="300" w:lineRule="exact"/>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年限</w:t>
            </w:r>
          </w:p>
        </w:tc>
        <w:tc>
          <w:tcPr>
            <w:tcW w:w="811"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总投资</w:t>
            </w:r>
          </w:p>
          <w:p>
            <w:pPr>
              <w:widowControl/>
              <w:spacing w:line="300" w:lineRule="exact"/>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（万元）</w:t>
            </w:r>
          </w:p>
        </w:tc>
        <w:tc>
          <w:tcPr>
            <w:tcW w:w="1036"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2023年</w:t>
            </w:r>
          </w:p>
          <w:p>
            <w:pPr>
              <w:widowControl/>
              <w:spacing w:line="300" w:lineRule="exact"/>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计划投资</w:t>
            </w:r>
          </w:p>
          <w:p>
            <w:pPr>
              <w:widowControl/>
              <w:spacing w:line="300" w:lineRule="exact"/>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（万元）</w:t>
            </w:r>
          </w:p>
        </w:tc>
        <w:tc>
          <w:tcPr>
            <w:tcW w:w="2800" w:type="dxa"/>
            <w:gridSpan w:val="3"/>
            <w:tcBorders>
              <w:top w:val="single" w:color="auto" w:sz="12"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其中：财政安排</w:t>
            </w:r>
          </w:p>
        </w:tc>
        <w:tc>
          <w:tcPr>
            <w:tcW w:w="4157" w:type="dxa"/>
            <w:gridSpan w:val="2"/>
            <w:tcBorders>
              <w:top w:val="single" w:color="auto" w:sz="12" w:space="0"/>
              <w:left w:val="single" w:color="auto" w:sz="6" w:space="0"/>
              <w:bottom w:val="single" w:color="auto" w:sz="6" w:space="0"/>
              <w:right w:val="single" w:color="auto" w:sz="12" w:space="0"/>
            </w:tcBorders>
            <w:shd w:val="clear" w:color="auto" w:fill="auto"/>
            <w:vAlign w:val="center"/>
          </w:tcPr>
          <w:p>
            <w:pPr>
              <w:widowControl/>
              <w:spacing w:line="300" w:lineRule="exact"/>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绩效目标</w:t>
            </w:r>
          </w:p>
        </w:tc>
      </w:tr>
      <w:tr>
        <w:tblPrEx>
          <w:tblCellMar>
            <w:top w:w="0" w:type="dxa"/>
            <w:left w:w="28" w:type="dxa"/>
            <w:bottom w:w="0" w:type="dxa"/>
            <w:right w:w="28" w:type="dxa"/>
          </w:tblCellMar>
        </w:tblPrEx>
        <w:trPr>
          <w:tblHeader/>
          <w:jc w:val="center"/>
        </w:trPr>
        <w:tc>
          <w:tcPr>
            <w:tcW w:w="476" w:type="dxa"/>
            <w:vMerge w:val="continue"/>
            <w:tcBorders>
              <w:top w:val="single" w:color="auto" w:sz="6" w:space="0"/>
              <w:left w:val="single" w:color="auto" w:sz="12" w:space="0"/>
              <w:bottom w:val="single" w:color="auto" w:sz="6" w:space="0"/>
              <w:right w:val="single" w:color="auto" w:sz="6" w:space="0"/>
            </w:tcBorders>
            <w:vAlign w:val="center"/>
          </w:tcPr>
          <w:p>
            <w:pPr>
              <w:widowControl/>
              <w:spacing w:line="300" w:lineRule="exact"/>
              <w:jc w:val="left"/>
              <w:rPr>
                <w:rFonts w:ascii="黑体" w:hAnsi="黑体" w:eastAsia="黑体" w:cs="Times New Roman"/>
                <w:color w:val="000000"/>
                <w:kern w:val="0"/>
                <w:sz w:val="20"/>
                <w:szCs w:val="20"/>
              </w:rPr>
            </w:pPr>
          </w:p>
        </w:tc>
        <w:tc>
          <w:tcPr>
            <w:tcW w:w="1442"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黑体" w:hAnsi="黑体" w:eastAsia="黑体" w:cs="Times New Roman"/>
                <w:color w:val="000000"/>
                <w:kern w:val="0"/>
                <w:sz w:val="20"/>
                <w:szCs w:val="20"/>
              </w:rPr>
            </w:pPr>
          </w:p>
        </w:tc>
        <w:tc>
          <w:tcPr>
            <w:tcW w:w="838"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黑体" w:hAnsi="黑体" w:eastAsia="黑体" w:cs="Times New Roman"/>
                <w:color w:val="000000"/>
                <w:kern w:val="0"/>
                <w:sz w:val="20"/>
                <w:szCs w:val="20"/>
              </w:rPr>
            </w:pPr>
          </w:p>
        </w:tc>
        <w:tc>
          <w:tcPr>
            <w:tcW w:w="2018"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黑体" w:hAnsi="黑体" w:eastAsia="黑体" w:cs="Times New Roman"/>
                <w:color w:val="000000"/>
                <w:kern w:val="0"/>
                <w:sz w:val="20"/>
                <w:szCs w:val="20"/>
              </w:rPr>
            </w:pPr>
          </w:p>
        </w:tc>
        <w:tc>
          <w:tcPr>
            <w:tcW w:w="980"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黑体" w:hAnsi="黑体" w:eastAsia="黑体" w:cs="Times New Roman"/>
                <w:color w:val="000000"/>
                <w:kern w:val="0"/>
                <w:sz w:val="20"/>
                <w:szCs w:val="20"/>
              </w:rPr>
            </w:pPr>
          </w:p>
        </w:tc>
        <w:tc>
          <w:tcPr>
            <w:tcW w:w="811"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黑体" w:hAnsi="黑体" w:eastAsia="黑体" w:cs="Times New Roman"/>
                <w:color w:val="000000"/>
                <w:kern w:val="0"/>
                <w:sz w:val="20"/>
                <w:szCs w:val="20"/>
              </w:rPr>
            </w:pPr>
          </w:p>
        </w:tc>
        <w:tc>
          <w:tcPr>
            <w:tcW w:w="1036"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黑体" w:hAnsi="黑体" w:eastAsia="黑体" w:cs="Times New Roman"/>
                <w:color w:val="000000"/>
                <w:kern w:val="0"/>
                <w:sz w:val="20"/>
                <w:szCs w:val="20"/>
              </w:rPr>
            </w:pPr>
          </w:p>
        </w:tc>
        <w:tc>
          <w:tcPr>
            <w:tcW w:w="88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合计</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一般公共</w:t>
            </w:r>
          </w:p>
          <w:p>
            <w:pPr>
              <w:widowControl/>
              <w:spacing w:line="300" w:lineRule="exact"/>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预算</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政府性基金预算</w:t>
            </w:r>
          </w:p>
        </w:tc>
        <w:tc>
          <w:tcPr>
            <w:tcW w:w="202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总体目标</w:t>
            </w:r>
          </w:p>
        </w:tc>
        <w:tc>
          <w:tcPr>
            <w:tcW w:w="212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spacing w:line="300" w:lineRule="exact"/>
              <w:jc w:val="center"/>
              <w:rPr>
                <w:rFonts w:ascii="黑体" w:hAnsi="黑体" w:eastAsia="黑体" w:cs="Times New Roman"/>
                <w:color w:val="000000"/>
                <w:kern w:val="0"/>
                <w:sz w:val="20"/>
                <w:szCs w:val="20"/>
              </w:rPr>
            </w:pPr>
            <w:r>
              <w:rPr>
                <w:rFonts w:ascii="黑体" w:hAnsi="黑体" w:eastAsia="黑体" w:cs="Times New Roman"/>
                <w:color w:val="000000"/>
                <w:kern w:val="0"/>
                <w:sz w:val="20"/>
                <w:szCs w:val="20"/>
              </w:rPr>
              <w:t>2023年目标</w:t>
            </w:r>
          </w:p>
        </w:tc>
      </w:tr>
      <w:tr>
        <w:tblPrEx>
          <w:tblCellMar>
            <w:top w:w="0" w:type="dxa"/>
            <w:left w:w="28" w:type="dxa"/>
            <w:bottom w:w="0" w:type="dxa"/>
            <w:right w:w="28" w:type="dxa"/>
          </w:tblCellMar>
        </w:tblPrEx>
        <w:trPr>
          <w:jc w:val="center"/>
        </w:trPr>
        <w:tc>
          <w:tcPr>
            <w:tcW w:w="47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黑体" w:cs="Times New Roman"/>
                <w:color w:val="000000"/>
                <w:kern w:val="0"/>
                <w:sz w:val="20"/>
                <w:szCs w:val="20"/>
              </w:rPr>
            </w:pPr>
            <w:r>
              <w:rPr>
                <w:rFonts w:ascii="Times New Roman" w:hAnsi="Times New Roman" w:eastAsia="黑体" w:cs="Times New Roman"/>
                <w:color w:val="000000"/>
                <w:kern w:val="0"/>
                <w:sz w:val="20"/>
                <w:szCs w:val="20"/>
              </w:rPr>
              <w:t>　</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新建项目</w:t>
            </w:r>
          </w:p>
          <w:p>
            <w:pPr>
              <w:widowControl/>
              <w:spacing w:line="30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（5个）</w:t>
            </w:r>
          </w:p>
        </w:tc>
        <w:tc>
          <w:tcPr>
            <w:tcW w:w="8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黑体" w:cs="Times New Roman"/>
                <w:color w:val="000000"/>
                <w:kern w:val="0"/>
                <w:sz w:val="20"/>
                <w:szCs w:val="20"/>
              </w:rPr>
            </w:pPr>
            <w:r>
              <w:rPr>
                <w:rFonts w:ascii="Times New Roman" w:hAnsi="Times New Roman" w:eastAsia="黑体" w:cs="Times New Roman"/>
                <w:color w:val="000000"/>
                <w:kern w:val="0"/>
                <w:sz w:val="20"/>
                <w:szCs w:val="20"/>
              </w:rPr>
              <w:t>　</w:t>
            </w:r>
          </w:p>
        </w:tc>
        <w:tc>
          <w:tcPr>
            <w:tcW w:w="20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黑体" w:cs="Times New Roman"/>
                <w:color w:val="000000"/>
                <w:kern w:val="0"/>
                <w:sz w:val="20"/>
                <w:szCs w:val="20"/>
              </w:rPr>
            </w:pPr>
            <w:r>
              <w:rPr>
                <w:rFonts w:ascii="Times New Roman" w:hAnsi="Times New Roman" w:eastAsia="黑体" w:cs="Times New Roman"/>
                <w:color w:val="000000"/>
                <w:kern w:val="0"/>
                <w:sz w:val="20"/>
                <w:szCs w:val="20"/>
              </w:rPr>
              <w:t>　</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273192</w:t>
            </w:r>
          </w:p>
        </w:tc>
        <w:tc>
          <w:tcPr>
            <w:tcW w:w="10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59200</w:t>
            </w:r>
          </w:p>
        </w:tc>
        <w:tc>
          <w:tcPr>
            <w:tcW w:w="88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2000</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1000</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1000</w:t>
            </w:r>
          </w:p>
        </w:tc>
        <w:tc>
          <w:tcPr>
            <w:tcW w:w="4157" w:type="dxa"/>
            <w:gridSpan w:val="2"/>
            <w:tcBorders>
              <w:top w:val="single" w:color="auto" w:sz="6" w:space="0"/>
              <w:left w:val="single" w:color="auto" w:sz="6" w:space="0"/>
              <w:bottom w:val="single" w:color="auto" w:sz="6" w:space="0"/>
              <w:right w:val="single" w:color="auto" w:sz="12" w:space="0"/>
            </w:tcBorders>
            <w:shd w:val="clear" w:color="auto" w:fill="auto"/>
            <w:vAlign w:val="center"/>
          </w:tcPr>
          <w:p>
            <w:pPr>
              <w:widowControl/>
              <w:spacing w:line="300" w:lineRule="exact"/>
              <w:jc w:val="center"/>
              <w:rPr>
                <w:rFonts w:ascii="Times New Roman" w:hAnsi="Times New Roman" w:eastAsia="黑体" w:cs="Times New Roman"/>
                <w:color w:val="000000"/>
                <w:kern w:val="0"/>
                <w:sz w:val="20"/>
                <w:szCs w:val="20"/>
              </w:rPr>
            </w:pPr>
            <w:r>
              <w:rPr>
                <w:rFonts w:ascii="Times New Roman" w:hAnsi="Times New Roman" w:eastAsia="黑体" w:cs="Times New Roman"/>
                <w:color w:val="000000"/>
                <w:kern w:val="0"/>
                <w:sz w:val="20"/>
                <w:szCs w:val="20"/>
              </w:rPr>
              <w:t>　</w:t>
            </w:r>
          </w:p>
        </w:tc>
      </w:tr>
      <w:tr>
        <w:tblPrEx>
          <w:tblCellMar>
            <w:top w:w="0" w:type="dxa"/>
            <w:left w:w="28" w:type="dxa"/>
            <w:bottom w:w="0" w:type="dxa"/>
            <w:right w:w="28" w:type="dxa"/>
          </w:tblCellMar>
        </w:tblPrEx>
        <w:trPr>
          <w:jc w:val="center"/>
        </w:trPr>
        <w:tc>
          <w:tcPr>
            <w:tcW w:w="47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1</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S319省道马涧至石阜岭段整治工程</w:t>
            </w:r>
          </w:p>
        </w:tc>
        <w:tc>
          <w:tcPr>
            <w:tcW w:w="8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20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全长12.873 公里。主线按一级公路双向六车道标准设计。</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2023-2025</w:t>
            </w: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73692</w:t>
            </w:r>
          </w:p>
        </w:tc>
        <w:tc>
          <w:tcPr>
            <w:tcW w:w="10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10000</w:t>
            </w:r>
          </w:p>
        </w:tc>
        <w:tc>
          <w:tcPr>
            <w:tcW w:w="88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202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建成完工</w:t>
            </w:r>
          </w:p>
        </w:tc>
        <w:tc>
          <w:tcPr>
            <w:tcW w:w="212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spacing w:line="30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完成项目前期工作，并开工建设。</w:t>
            </w:r>
          </w:p>
        </w:tc>
      </w:tr>
      <w:tr>
        <w:tblPrEx>
          <w:tblCellMar>
            <w:top w:w="0" w:type="dxa"/>
            <w:left w:w="28" w:type="dxa"/>
            <w:bottom w:w="0" w:type="dxa"/>
            <w:right w:w="28" w:type="dxa"/>
          </w:tblCellMar>
        </w:tblPrEx>
        <w:trPr>
          <w:jc w:val="center"/>
        </w:trPr>
        <w:tc>
          <w:tcPr>
            <w:tcW w:w="47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2</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S319省道灵马公路桥头至婺城交界段改建工程</w:t>
            </w:r>
          </w:p>
        </w:tc>
        <w:tc>
          <w:tcPr>
            <w:tcW w:w="8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20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主线全长 11.980km。按一级公路双向六车道标准设计。</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2023-2025</w:t>
            </w: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130000</w:t>
            </w:r>
          </w:p>
        </w:tc>
        <w:tc>
          <w:tcPr>
            <w:tcW w:w="10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20000</w:t>
            </w:r>
          </w:p>
        </w:tc>
        <w:tc>
          <w:tcPr>
            <w:tcW w:w="88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202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建成完工</w:t>
            </w:r>
          </w:p>
        </w:tc>
        <w:tc>
          <w:tcPr>
            <w:tcW w:w="212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spacing w:line="30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完成项目前期工作，并开工建设。</w:t>
            </w:r>
          </w:p>
        </w:tc>
      </w:tr>
      <w:tr>
        <w:tblPrEx>
          <w:tblCellMar>
            <w:top w:w="0" w:type="dxa"/>
            <w:left w:w="28" w:type="dxa"/>
            <w:bottom w:w="0" w:type="dxa"/>
            <w:right w:w="28" w:type="dxa"/>
          </w:tblCellMar>
        </w:tblPrEx>
        <w:trPr>
          <w:trHeight w:val="800" w:hRule="atLeast"/>
          <w:jc w:val="center"/>
        </w:trPr>
        <w:tc>
          <w:tcPr>
            <w:tcW w:w="47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3</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兰花幼儿园</w:t>
            </w:r>
          </w:p>
        </w:tc>
        <w:tc>
          <w:tcPr>
            <w:tcW w:w="8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教育局</w:t>
            </w:r>
          </w:p>
        </w:tc>
        <w:tc>
          <w:tcPr>
            <w:tcW w:w="20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用地规模12亩，办学规模15个班。</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2023-2024</w:t>
            </w: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4000</w:t>
            </w:r>
          </w:p>
        </w:tc>
        <w:tc>
          <w:tcPr>
            <w:tcW w:w="10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2000</w:t>
            </w:r>
          </w:p>
        </w:tc>
        <w:tc>
          <w:tcPr>
            <w:tcW w:w="88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2000</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1000</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1000</w:t>
            </w:r>
          </w:p>
        </w:tc>
        <w:tc>
          <w:tcPr>
            <w:tcW w:w="202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2024年竣工</w:t>
            </w:r>
          </w:p>
        </w:tc>
        <w:tc>
          <w:tcPr>
            <w:tcW w:w="212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spacing w:line="30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完成主体结构结顶</w:t>
            </w:r>
          </w:p>
        </w:tc>
      </w:tr>
      <w:tr>
        <w:tblPrEx>
          <w:tblCellMar>
            <w:top w:w="0" w:type="dxa"/>
            <w:left w:w="28" w:type="dxa"/>
            <w:bottom w:w="0" w:type="dxa"/>
            <w:right w:w="28" w:type="dxa"/>
          </w:tblCellMar>
        </w:tblPrEx>
        <w:trPr>
          <w:trHeight w:val="983" w:hRule="atLeast"/>
          <w:jc w:val="center"/>
        </w:trPr>
        <w:tc>
          <w:tcPr>
            <w:tcW w:w="47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4</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人民医院发热门诊及急诊大楼</w:t>
            </w:r>
          </w:p>
        </w:tc>
        <w:tc>
          <w:tcPr>
            <w:tcW w:w="8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人民医院</w:t>
            </w:r>
          </w:p>
        </w:tc>
        <w:tc>
          <w:tcPr>
            <w:tcW w:w="20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规划用地面积34.97亩，项目总建筑面积62740平方米。</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2023-2025</w:t>
            </w: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45500</w:t>
            </w:r>
          </w:p>
        </w:tc>
        <w:tc>
          <w:tcPr>
            <w:tcW w:w="10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18200</w:t>
            </w:r>
          </w:p>
        </w:tc>
        <w:tc>
          <w:tcPr>
            <w:tcW w:w="88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02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2025年竣工</w:t>
            </w:r>
          </w:p>
        </w:tc>
        <w:tc>
          <w:tcPr>
            <w:tcW w:w="212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spacing w:line="30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地下室主体完工，急诊大楼裙房开始施工</w:t>
            </w:r>
          </w:p>
        </w:tc>
      </w:tr>
      <w:tr>
        <w:tblPrEx>
          <w:tblCellMar>
            <w:top w:w="0" w:type="dxa"/>
            <w:left w:w="28" w:type="dxa"/>
            <w:bottom w:w="0" w:type="dxa"/>
            <w:right w:w="28" w:type="dxa"/>
          </w:tblCellMar>
        </w:tblPrEx>
        <w:trPr>
          <w:jc w:val="center"/>
        </w:trPr>
        <w:tc>
          <w:tcPr>
            <w:tcW w:w="47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5</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北部医院</w:t>
            </w:r>
          </w:p>
        </w:tc>
        <w:tc>
          <w:tcPr>
            <w:tcW w:w="8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梅江镇中心卫生院</w:t>
            </w:r>
          </w:p>
        </w:tc>
        <w:tc>
          <w:tcPr>
            <w:tcW w:w="20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项目用地面积2666662㎡(约40亩)，总建筑面积25460.59㎡，其中地上建筑面积21960.59㎡，地下建筑面积3500㎡</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设置床位280张。</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2023-2025</w:t>
            </w: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20000</w:t>
            </w:r>
          </w:p>
        </w:tc>
        <w:tc>
          <w:tcPr>
            <w:tcW w:w="10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9000</w:t>
            </w:r>
          </w:p>
        </w:tc>
        <w:tc>
          <w:tcPr>
            <w:tcW w:w="88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02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自2023年开始建设，至2025年基本完工，达到二级乙等医院规模，成为兰溪市北部的医疗保健康复中心。</w:t>
            </w:r>
          </w:p>
        </w:tc>
        <w:tc>
          <w:tcPr>
            <w:tcW w:w="212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spacing w:line="30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2023年完成医疗综合楼及病房楼，后勤行政办公楼，发热、肠道门诊，配电房，液氮站，垃圾收集点等主体工程。</w:t>
            </w:r>
          </w:p>
        </w:tc>
      </w:tr>
      <w:tr>
        <w:tblPrEx>
          <w:tblCellMar>
            <w:top w:w="0" w:type="dxa"/>
            <w:left w:w="28" w:type="dxa"/>
            <w:bottom w:w="0" w:type="dxa"/>
            <w:right w:w="28" w:type="dxa"/>
          </w:tblCellMar>
        </w:tblPrEx>
        <w:trPr>
          <w:jc w:val="center"/>
        </w:trPr>
        <w:tc>
          <w:tcPr>
            <w:tcW w:w="47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　</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续建项目</w:t>
            </w:r>
          </w:p>
          <w:p>
            <w:pPr>
              <w:widowControl/>
              <w:spacing w:line="30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（14个）</w:t>
            </w:r>
          </w:p>
        </w:tc>
        <w:tc>
          <w:tcPr>
            <w:tcW w:w="8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20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1280641</w:t>
            </w:r>
          </w:p>
        </w:tc>
        <w:tc>
          <w:tcPr>
            <w:tcW w:w="10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289470</w:t>
            </w:r>
          </w:p>
        </w:tc>
        <w:tc>
          <w:tcPr>
            <w:tcW w:w="88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53972</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5002</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48970</w:t>
            </w:r>
          </w:p>
        </w:tc>
        <w:tc>
          <w:tcPr>
            <w:tcW w:w="4157" w:type="dxa"/>
            <w:gridSpan w:val="2"/>
            <w:tcBorders>
              <w:top w:val="single" w:color="auto" w:sz="6" w:space="0"/>
              <w:left w:val="single" w:color="auto" w:sz="6" w:space="0"/>
              <w:bottom w:val="single" w:color="auto" w:sz="6" w:space="0"/>
              <w:right w:val="single" w:color="auto" w:sz="12" w:space="0"/>
            </w:tcBorders>
            <w:shd w:val="clear" w:color="auto" w:fill="auto"/>
            <w:vAlign w:val="center"/>
          </w:tcPr>
          <w:p>
            <w:pPr>
              <w:widowControl/>
              <w:spacing w:line="30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r>
      <w:tr>
        <w:tblPrEx>
          <w:tblCellMar>
            <w:top w:w="0" w:type="dxa"/>
            <w:left w:w="28" w:type="dxa"/>
            <w:bottom w:w="0" w:type="dxa"/>
            <w:right w:w="28" w:type="dxa"/>
          </w:tblCellMar>
        </w:tblPrEx>
        <w:trPr>
          <w:jc w:val="center"/>
        </w:trPr>
        <w:tc>
          <w:tcPr>
            <w:tcW w:w="47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1</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金建高铁</w:t>
            </w:r>
          </w:p>
        </w:tc>
        <w:tc>
          <w:tcPr>
            <w:tcW w:w="8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高铁</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指挥部</w:t>
            </w:r>
          </w:p>
        </w:tc>
        <w:tc>
          <w:tcPr>
            <w:tcW w:w="20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新建铁路23.608公里（正线）</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2020-2024</w:t>
            </w: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501300</w:t>
            </w:r>
          </w:p>
        </w:tc>
        <w:tc>
          <w:tcPr>
            <w:tcW w:w="10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60000</w:t>
            </w:r>
          </w:p>
        </w:tc>
        <w:tc>
          <w:tcPr>
            <w:tcW w:w="88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202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2024年建成通车</w:t>
            </w:r>
          </w:p>
        </w:tc>
        <w:tc>
          <w:tcPr>
            <w:tcW w:w="212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spacing w:line="26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2023年主要施工内容：隧道工程、路基工程、桥梁工程（承台、墩身）；连续梁施工与轨道铺设。计划完成投资额60000万元。</w:t>
            </w:r>
          </w:p>
        </w:tc>
      </w:tr>
      <w:tr>
        <w:tblPrEx>
          <w:tblCellMar>
            <w:top w:w="0" w:type="dxa"/>
            <w:left w:w="28" w:type="dxa"/>
            <w:bottom w:w="0" w:type="dxa"/>
            <w:right w:w="28" w:type="dxa"/>
          </w:tblCellMar>
        </w:tblPrEx>
        <w:trPr>
          <w:jc w:val="center"/>
        </w:trPr>
        <w:tc>
          <w:tcPr>
            <w:tcW w:w="47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2</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351国道兰溪段工程（马涧至大慈岩段新建工程）</w:t>
            </w:r>
          </w:p>
        </w:tc>
        <w:tc>
          <w:tcPr>
            <w:tcW w:w="8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交通局</w:t>
            </w:r>
          </w:p>
        </w:tc>
        <w:tc>
          <w:tcPr>
            <w:tcW w:w="20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主线全长35.6公里。兰溪段32.5公里，同步建董蒋连接线6.4公里。</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2023-2025</w:t>
            </w: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370457</w:t>
            </w:r>
          </w:p>
        </w:tc>
        <w:tc>
          <w:tcPr>
            <w:tcW w:w="10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100000</w:t>
            </w:r>
          </w:p>
        </w:tc>
        <w:tc>
          <w:tcPr>
            <w:tcW w:w="88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202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建成完工</w:t>
            </w:r>
          </w:p>
        </w:tc>
        <w:tc>
          <w:tcPr>
            <w:tcW w:w="212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spacing w:line="26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完成项目用地报批，全线开工，完成总投资的30%。</w:t>
            </w:r>
          </w:p>
        </w:tc>
      </w:tr>
      <w:tr>
        <w:tblPrEx>
          <w:tblCellMar>
            <w:top w:w="0" w:type="dxa"/>
            <w:left w:w="28" w:type="dxa"/>
            <w:bottom w:w="0" w:type="dxa"/>
            <w:right w:w="28" w:type="dxa"/>
          </w:tblCellMar>
        </w:tblPrEx>
        <w:trPr>
          <w:trHeight w:val="2562" w:hRule="atLeast"/>
          <w:jc w:val="center"/>
        </w:trPr>
        <w:tc>
          <w:tcPr>
            <w:tcW w:w="47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3</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兰溪市东站广场地下停车场工程项目（二期）</w:t>
            </w:r>
          </w:p>
        </w:tc>
        <w:tc>
          <w:tcPr>
            <w:tcW w:w="8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高铁</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指挥部</w:t>
            </w:r>
          </w:p>
        </w:tc>
        <w:tc>
          <w:tcPr>
            <w:tcW w:w="20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项目为东站地下停车场二期工程，开发地下两层，建设地下停车库及配套用房，总建筑面积13957 ㎡，其中地下一层5895㎡，地下一层夹层1087㎡，地下二层5625㎡，地面1350㎡。</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2022-2023</w:t>
            </w: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9120</w:t>
            </w:r>
          </w:p>
        </w:tc>
        <w:tc>
          <w:tcPr>
            <w:tcW w:w="10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7170</w:t>
            </w:r>
          </w:p>
        </w:tc>
        <w:tc>
          <w:tcPr>
            <w:tcW w:w="88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7170</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7170</w:t>
            </w:r>
          </w:p>
        </w:tc>
        <w:tc>
          <w:tcPr>
            <w:tcW w:w="202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2023年建设完成</w:t>
            </w:r>
          </w:p>
        </w:tc>
        <w:tc>
          <w:tcPr>
            <w:tcW w:w="212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完成地下停车库及配套用房建设，计划完成投资额7170万元。</w:t>
            </w:r>
          </w:p>
        </w:tc>
      </w:tr>
      <w:tr>
        <w:tblPrEx>
          <w:tblCellMar>
            <w:top w:w="0" w:type="dxa"/>
            <w:left w:w="28" w:type="dxa"/>
            <w:bottom w:w="0" w:type="dxa"/>
            <w:right w:w="28" w:type="dxa"/>
          </w:tblCellMar>
        </w:tblPrEx>
        <w:trPr>
          <w:jc w:val="center"/>
        </w:trPr>
        <w:tc>
          <w:tcPr>
            <w:tcW w:w="47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4</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兰三中宿舍扩建工程</w:t>
            </w:r>
          </w:p>
        </w:tc>
        <w:tc>
          <w:tcPr>
            <w:tcW w:w="8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兰三中</w:t>
            </w:r>
          </w:p>
        </w:tc>
        <w:tc>
          <w:tcPr>
            <w:tcW w:w="20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项目位于兰三中校园内，新建学生宿舍楼1幢，用地面积1012.82㎡，建筑面积6061.39㎡。旧宿舍改造约15000㎡项目与新建项目相邻。</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2022-2024</w:t>
            </w: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3000</w:t>
            </w:r>
          </w:p>
        </w:tc>
        <w:tc>
          <w:tcPr>
            <w:tcW w:w="10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2500</w:t>
            </w:r>
          </w:p>
        </w:tc>
        <w:tc>
          <w:tcPr>
            <w:tcW w:w="88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1602</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1602</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202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竣工</w:t>
            </w:r>
          </w:p>
        </w:tc>
        <w:tc>
          <w:tcPr>
            <w:tcW w:w="212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竣工</w:t>
            </w:r>
          </w:p>
        </w:tc>
      </w:tr>
      <w:tr>
        <w:tblPrEx>
          <w:tblCellMar>
            <w:top w:w="0" w:type="dxa"/>
            <w:left w:w="28" w:type="dxa"/>
            <w:bottom w:w="0" w:type="dxa"/>
            <w:right w:w="28" w:type="dxa"/>
          </w:tblCellMar>
        </w:tblPrEx>
        <w:trPr>
          <w:trHeight w:val="1486" w:hRule="atLeast"/>
          <w:jc w:val="center"/>
        </w:trPr>
        <w:tc>
          <w:tcPr>
            <w:tcW w:w="47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5</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330国道兰溪永昌至建德交界段改建工程</w:t>
            </w:r>
          </w:p>
        </w:tc>
        <w:tc>
          <w:tcPr>
            <w:tcW w:w="8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spacing w:val="-14"/>
                <w:kern w:val="0"/>
                <w:sz w:val="20"/>
                <w:szCs w:val="20"/>
              </w:rPr>
              <w:t>交投集团、</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交通局</w:t>
            </w:r>
          </w:p>
        </w:tc>
        <w:tc>
          <w:tcPr>
            <w:tcW w:w="20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主线一级公路双向四车道18.6公里，利用现有道路5.1公里，连接线二级公路11.75公里。</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2021-2023</w:t>
            </w: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136000</w:t>
            </w:r>
          </w:p>
        </w:tc>
        <w:tc>
          <w:tcPr>
            <w:tcW w:w="10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40000</w:t>
            </w:r>
          </w:p>
        </w:tc>
        <w:tc>
          <w:tcPr>
            <w:tcW w:w="88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202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建成完工</w:t>
            </w:r>
          </w:p>
        </w:tc>
        <w:tc>
          <w:tcPr>
            <w:tcW w:w="212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完成项目总投资的60%</w:t>
            </w:r>
          </w:p>
        </w:tc>
      </w:tr>
      <w:tr>
        <w:tblPrEx>
          <w:tblCellMar>
            <w:top w:w="0" w:type="dxa"/>
            <w:left w:w="28" w:type="dxa"/>
            <w:bottom w:w="0" w:type="dxa"/>
            <w:right w:w="28" w:type="dxa"/>
          </w:tblCellMar>
        </w:tblPrEx>
        <w:trPr>
          <w:trHeight w:val="1458" w:hRule="atLeast"/>
          <w:jc w:val="center"/>
        </w:trPr>
        <w:tc>
          <w:tcPr>
            <w:tcW w:w="47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6</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钱塘江（杭州八堡-衢州双港口）三级航道整治工程金华段工程</w:t>
            </w:r>
          </w:p>
        </w:tc>
        <w:tc>
          <w:tcPr>
            <w:tcW w:w="8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交投</w:t>
            </w:r>
          </w:p>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集团</w:t>
            </w:r>
          </w:p>
        </w:tc>
        <w:tc>
          <w:tcPr>
            <w:tcW w:w="20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起于金华与衢州交界处洋埠镇，下游终于金华与杭州交界的将军岩，航道整治总里程约45公里。</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2022-2025</w:t>
            </w: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66930</w:t>
            </w:r>
          </w:p>
        </w:tc>
        <w:tc>
          <w:tcPr>
            <w:tcW w:w="10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15000</w:t>
            </w:r>
          </w:p>
        </w:tc>
        <w:tc>
          <w:tcPr>
            <w:tcW w:w="88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202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建成完工</w:t>
            </w:r>
          </w:p>
        </w:tc>
        <w:tc>
          <w:tcPr>
            <w:tcW w:w="212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争取完成项目前期工作，并开工建设。</w:t>
            </w:r>
          </w:p>
        </w:tc>
      </w:tr>
      <w:tr>
        <w:tblPrEx>
          <w:tblCellMar>
            <w:top w:w="0" w:type="dxa"/>
            <w:left w:w="28" w:type="dxa"/>
            <w:bottom w:w="0" w:type="dxa"/>
            <w:right w:w="28" w:type="dxa"/>
          </w:tblCellMar>
        </w:tblPrEx>
        <w:trPr>
          <w:trHeight w:val="1751" w:hRule="atLeast"/>
          <w:jc w:val="center"/>
        </w:trPr>
        <w:tc>
          <w:tcPr>
            <w:tcW w:w="47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7</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兰溪市颐居园（黄店、兰江、诸葛）建设项目</w:t>
            </w:r>
          </w:p>
        </w:tc>
        <w:tc>
          <w:tcPr>
            <w:tcW w:w="8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溪西</w:t>
            </w:r>
          </w:p>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商圈</w:t>
            </w:r>
          </w:p>
        </w:tc>
        <w:tc>
          <w:tcPr>
            <w:tcW w:w="20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项目总用地面积 14082.26 ㎡（其中兰江 3640 ㎡，黄店 4575.26 ㎡，诸葛 5867 ㎡），总建筑面积20165.59 ㎡。</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2022-2024</w:t>
            </w: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10000</w:t>
            </w:r>
          </w:p>
        </w:tc>
        <w:tc>
          <w:tcPr>
            <w:tcW w:w="10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6000</w:t>
            </w:r>
          </w:p>
        </w:tc>
        <w:tc>
          <w:tcPr>
            <w:tcW w:w="88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9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98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202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2024年竣工</w:t>
            </w:r>
          </w:p>
        </w:tc>
        <w:tc>
          <w:tcPr>
            <w:tcW w:w="2128" w:type="dxa"/>
            <w:tcBorders>
              <w:top w:val="single" w:color="auto" w:sz="6" w:space="0"/>
              <w:left w:val="single" w:color="auto" w:sz="6" w:space="0"/>
              <w:bottom w:val="single" w:color="auto" w:sz="6" w:space="0"/>
              <w:right w:val="single" w:color="auto" w:sz="12" w:space="0"/>
            </w:tcBorders>
            <w:shd w:val="clear" w:color="auto" w:fill="auto"/>
            <w:noWrap/>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主体建筑完成30%</w:t>
            </w:r>
          </w:p>
        </w:tc>
      </w:tr>
      <w:tr>
        <w:tblPrEx>
          <w:tblCellMar>
            <w:top w:w="0" w:type="dxa"/>
            <w:left w:w="28" w:type="dxa"/>
            <w:bottom w:w="0" w:type="dxa"/>
            <w:right w:w="28" w:type="dxa"/>
          </w:tblCellMar>
        </w:tblPrEx>
        <w:trPr>
          <w:jc w:val="center"/>
        </w:trPr>
        <w:tc>
          <w:tcPr>
            <w:tcW w:w="47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8</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梅江镇敬老院扩建</w:t>
            </w:r>
          </w:p>
        </w:tc>
        <w:tc>
          <w:tcPr>
            <w:tcW w:w="8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梅江镇</w:t>
            </w:r>
          </w:p>
        </w:tc>
        <w:tc>
          <w:tcPr>
            <w:tcW w:w="20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建筑面积8939.73㎡，建筑5层，床位204张。</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2021-2023</w:t>
            </w: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3235</w:t>
            </w:r>
          </w:p>
        </w:tc>
        <w:tc>
          <w:tcPr>
            <w:tcW w:w="10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w:t>
            </w:r>
          </w:p>
        </w:tc>
        <w:tc>
          <w:tcPr>
            <w:tcW w:w="88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200</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200</w:t>
            </w:r>
          </w:p>
        </w:tc>
        <w:tc>
          <w:tcPr>
            <w:tcW w:w="202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完成新建一栋5层养老住房，建筑占地面积1671.2㎡，建筑面积8883.7㎡，其中：地上建筑面积7624.9㎡，地下建筑面积（不计容）1258.8㎡。新增床位204床,新建停车位40个。竣工验收，正常投入使用。</w:t>
            </w:r>
          </w:p>
        </w:tc>
        <w:tc>
          <w:tcPr>
            <w:tcW w:w="212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spacing w:line="260" w:lineRule="exac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完成新建一栋5层养老住房，建筑占地面积1671.2㎡，建筑面积8883.7㎡，其中：地上建筑面积7624.9㎡，地下建筑面积（不计容）1258.8㎡。新增床位204床,新建停车位40个。完成整体验收、配套工程建设、室内装修及物品采购安装工作。</w:t>
            </w:r>
          </w:p>
        </w:tc>
      </w:tr>
      <w:tr>
        <w:tblPrEx>
          <w:tblCellMar>
            <w:top w:w="0" w:type="dxa"/>
            <w:left w:w="28" w:type="dxa"/>
            <w:bottom w:w="0" w:type="dxa"/>
            <w:right w:w="28" w:type="dxa"/>
          </w:tblCellMar>
        </w:tblPrEx>
        <w:trPr>
          <w:jc w:val="center"/>
        </w:trPr>
        <w:tc>
          <w:tcPr>
            <w:tcW w:w="47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9</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上华全域土地整治</w:t>
            </w:r>
          </w:p>
        </w:tc>
        <w:tc>
          <w:tcPr>
            <w:tcW w:w="8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金兰</w:t>
            </w:r>
          </w:p>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创投</w:t>
            </w:r>
          </w:p>
        </w:tc>
        <w:tc>
          <w:tcPr>
            <w:tcW w:w="20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建设用地复垦700亩，旱改水380亩，垦造工地230亩，永久基本农田连片整治20000亩，河道整治27公里，防洪堤修复24公里，水库修复3座。</w:t>
            </w:r>
          </w:p>
        </w:tc>
        <w:tc>
          <w:tcPr>
            <w:tcW w:w="98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2021-2025</w:t>
            </w: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54000</w:t>
            </w:r>
          </w:p>
        </w:tc>
        <w:tc>
          <w:tcPr>
            <w:tcW w:w="10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18000</w:t>
            </w:r>
          </w:p>
        </w:tc>
        <w:tc>
          <w:tcPr>
            <w:tcW w:w="88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18000</w:t>
            </w:r>
          </w:p>
        </w:tc>
        <w:tc>
          <w:tcPr>
            <w:tcW w:w="9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98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18000</w:t>
            </w:r>
          </w:p>
        </w:tc>
        <w:tc>
          <w:tcPr>
            <w:tcW w:w="202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20" w:lineRule="exact"/>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实施垦造耕地项目 232.48亩，旱改水项目383.88亩，建设用地复垦项目 688.97亩，永久基本农田集中连片整治项目16665亩，河道整治27.59千米，防洪堤修复24.66千米，山塘水库修复3座</w:t>
            </w:r>
            <w:r>
              <w:rPr>
                <w:rFonts w:hint="eastAsia" w:ascii="Times New Roman" w:hAnsi="Times New Roman" w:eastAsia="宋体" w:cs="Times New Roman"/>
                <w:kern w:val="0"/>
                <w:sz w:val="20"/>
                <w:szCs w:val="20"/>
                <w:lang w:eastAsia="zh-CN"/>
              </w:rPr>
              <w:t>。</w:t>
            </w:r>
          </w:p>
        </w:tc>
        <w:tc>
          <w:tcPr>
            <w:tcW w:w="212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spacing w:line="220" w:lineRule="exact"/>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完成垦造耕地、旱改水政策处理，实施建设用地复垦688.97亩并通过验收，完成永久基本农田集中连片整治10000亩以上，完成河道、防洪堤和山塘水库修复</w:t>
            </w:r>
            <w:r>
              <w:rPr>
                <w:rFonts w:hint="eastAsia" w:ascii="Times New Roman" w:hAnsi="Times New Roman" w:eastAsia="宋体" w:cs="Times New Roman"/>
                <w:kern w:val="0"/>
                <w:sz w:val="20"/>
                <w:szCs w:val="20"/>
                <w:lang w:eastAsia="zh-CN"/>
              </w:rPr>
              <w:t>。</w:t>
            </w:r>
            <w:r>
              <w:rPr>
                <w:rFonts w:hint="eastAsia" w:ascii="Times New Roman" w:hAnsi="Times New Roman" w:eastAsia="宋体" w:cs="Times New Roman"/>
                <w:kern w:val="0"/>
                <w:sz w:val="20"/>
                <w:szCs w:val="20"/>
                <w:lang w:val="en-US" w:eastAsia="zh-CN"/>
              </w:rPr>
              <w:t>·</w:t>
            </w:r>
          </w:p>
        </w:tc>
      </w:tr>
      <w:tr>
        <w:tblPrEx>
          <w:tblCellMar>
            <w:top w:w="0" w:type="dxa"/>
            <w:left w:w="28" w:type="dxa"/>
            <w:bottom w:w="0" w:type="dxa"/>
            <w:right w:w="28" w:type="dxa"/>
          </w:tblCellMar>
        </w:tblPrEx>
        <w:trPr>
          <w:jc w:val="center"/>
        </w:trPr>
        <w:tc>
          <w:tcPr>
            <w:tcW w:w="47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10</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云山街道全域土地整治</w:t>
            </w:r>
          </w:p>
        </w:tc>
        <w:tc>
          <w:tcPr>
            <w:tcW w:w="8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云山</w:t>
            </w:r>
          </w:p>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街道</w:t>
            </w:r>
          </w:p>
        </w:tc>
        <w:tc>
          <w:tcPr>
            <w:tcW w:w="20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制造业（建设）用地复垦135亩、土地开发177亩、旱改水21亩、千亩方1254亩。</w:t>
            </w:r>
          </w:p>
        </w:tc>
        <w:tc>
          <w:tcPr>
            <w:tcW w:w="98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2022-2024</w:t>
            </w: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15000</w:t>
            </w:r>
          </w:p>
        </w:tc>
        <w:tc>
          <w:tcPr>
            <w:tcW w:w="10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8000</w:t>
            </w:r>
          </w:p>
        </w:tc>
        <w:tc>
          <w:tcPr>
            <w:tcW w:w="88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8000</w:t>
            </w:r>
          </w:p>
        </w:tc>
        <w:tc>
          <w:tcPr>
            <w:tcW w:w="9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98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8000</w:t>
            </w:r>
          </w:p>
        </w:tc>
        <w:tc>
          <w:tcPr>
            <w:tcW w:w="202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2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项目税后投资财务内部收益率15.12%，税后动态投资回收期3.85年，经济效益尚可。</w:t>
            </w:r>
          </w:p>
        </w:tc>
        <w:tc>
          <w:tcPr>
            <w:tcW w:w="212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spacing w:line="22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投资8000万元用于岩头要姚大湾自然村整村搬迁，建设用地复垦新增耕地3.6214公顷，完成“旱改水”项目新增水田面积1.3439公顷。</w:t>
            </w:r>
          </w:p>
        </w:tc>
      </w:tr>
      <w:tr>
        <w:tblPrEx>
          <w:tblCellMar>
            <w:top w:w="0" w:type="dxa"/>
            <w:left w:w="28" w:type="dxa"/>
            <w:bottom w:w="0" w:type="dxa"/>
            <w:right w:w="28" w:type="dxa"/>
          </w:tblCellMar>
        </w:tblPrEx>
        <w:trPr>
          <w:jc w:val="center"/>
        </w:trPr>
        <w:tc>
          <w:tcPr>
            <w:tcW w:w="47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11</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文化馆改扩建</w:t>
            </w:r>
          </w:p>
        </w:tc>
        <w:tc>
          <w:tcPr>
            <w:tcW w:w="8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文旅</w:t>
            </w:r>
          </w:p>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集团</w:t>
            </w:r>
          </w:p>
        </w:tc>
        <w:tc>
          <w:tcPr>
            <w:tcW w:w="20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新建市民文化中心（文化馆）</w:t>
            </w:r>
          </w:p>
        </w:tc>
        <w:tc>
          <w:tcPr>
            <w:tcW w:w="98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2022-2023</w:t>
            </w: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6000</w:t>
            </w:r>
          </w:p>
        </w:tc>
        <w:tc>
          <w:tcPr>
            <w:tcW w:w="10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3000</w:t>
            </w:r>
          </w:p>
        </w:tc>
        <w:tc>
          <w:tcPr>
            <w:tcW w:w="88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2000</w:t>
            </w:r>
          </w:p>
        </w:tc>
        <w:tc>
          <w:tcPr>
            <w:tcW w:w="9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98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2000</w:t>
            </w:r>
          </w:p>
        </w:tc>
        <w:tc>
          <w:tcPr>
            <w:tcW w:w="202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2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在原址上重建文化馆，总用地面积为8404.41平方米，新建文化馆8461.84平方米（地上）。地下建筑面积4534.88平方米（不计容），包括非机动车库、机动车库及设备用房。</w:t>
            </w:r>
          </w:p>
        </w:tc>
        <w:tc>
          <w:tcPr>
            <w:tcW w:w="212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spacing w:line="22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完成项目装饰工程施工、设备安装调试、室外景观施工，完成项目整体验收并投入使用。</w:t>
            </w:r>
          </w:p>
        </w:tc>
      </w:tr>
      <w:tr>
        <w:tblPrEx>
          <w:tblCellMar>
            <w:top w:w="0" w:type="dxa"/>
            <w:left w:w="28" w:type="dxa"/>
            <w:bottom w:w="0" w:type="dxa"/>
            <w:right w:w="28" w:type="dxa"/>
          </w:tblCellMar>
        </w:tblPrEx>
        <w:trPr>
          <w:jc w:val="center"/>
        </w:trPr>
        <w:tc>
          <w:tcPr>
            <w:tcW w:w="47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12</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诸葛镇基础设施建设及配套提升项目</w:t>
            </w:r>
          </w:p>
        </w:tc>
        <w:tc>
          <w:tcPr>
            <w:tcW w:w="83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古镇基础设施建设有限公司</w:t>
            </w:r>
          </w:p>
        </w:tc>
        <w:tc>
          <w:tcPr>
            <w:tcW w:w="20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城镇污水管网建设以及诸葛综合人才公寓改造提升。</w:t>
            </w:r>
          </w:p>
        </w:tc>
        <w:tc>
          <w:tcPr>
            <w:tcW w:w="98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2022-2023</w:t>
            </w: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5108</w:t>
            </w:r>
          </w:p>
        </w:tc>
        <w:tc>
          <w:tcPr>
            <w:tcW w:w="10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600</w:t>
            </w:r>
          </w:p>
        </w:tc>
        <w:tc>
          <w:tcPr>
            <w:tcW w:w="88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9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98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02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2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完成诸葛镇工业园区A、B地块污水管道改造（3165.31米），包括污水管道的修建及提升改造等；克罗托纺织厂至殿后朱自然村污水管道改造（4122米），包括污水管道的检测、清洗、维修、改造等；人才公寓改造提升。</w:t>
            </w:r>
          </w:p>
        </w:tc>
        <w:tc>
          <w:tcPr>
            <w:tcW w:w="212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spacing w:line="22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完成诸葛镇工业园区A、B地块污水管道改造（3165.31米），包括污水管道的修建及提升改造等；克罗托纺织厂至殿后朱自然村污水管道改造（4122米），包括污水管道的检测、清洗、维修、改造等；人才公寓改造提升目标的90%总量。</w:t>
            </w:r>
          </w:p>
        </w:tc>
      </w:tr>
      <w:tr>
        <w:tblPrEx>
          <w:tblCellMar>
            <w:top w:w="0" w:type="dxa"/>
            <w:left w:w="28" w:type="dxa"/>
            <w:bottom w:w="0" w:type="dxa"/>
            <w:right w:w="28" w:type="dxa"/>
          </w:tblCellMar>
        </w:tblPrEx>
        <w:trPr>
          <w:trHeight w:val="1291" w:hRule="atLeast"/>
          <w:jc w:val="center"/>
        </w:trPr>
        <w:tc>
          <w:tcPr>
            <w:tcW w:w="47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13</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城市停车场</w:t>
            </w:r>
          </w:p>
        </w:tc>
        <w:tc>
          <w:tcPr>
            <w:tcW w:w="8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城投</w:t>
            </w:r>
          </w:p>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集团</w:t>
            </w:r>
          </w:p>
        </w:tc>
        <w:tc>
          <w:tcPr>
            <w:tcW w:w="20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总用地面积135273㎡，共建设停车位3768个，充电桩320个，设置墙面电子广告屏1800㎡。</w:t>
            </w:r>
          </w:p>
        </w:tc>
        <w:tc>
          <w:tcPr>
            <w:tcW w:w="98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2022-2023</w:t>
            </w: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75491</w:t>
            </w:r>
          </w:p>
        </w:tc>
        <w:tc>
          <w:tcPr>
            <w:tcW w:w="10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12000</w:t>
            </w:r>
          </w:p>
        </w:tc>
        <w:tc>
          <w:tcPr>
            <w:tcW w:w="88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9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98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02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建成完工</w:t>
            </w:r>
          </w:p>
        </w:tc>
        <w:tc>
          <w:tcPr>
            <w:tcW w:w="2128" w:type="dxa"/>
            <w:tcBorders>
              <w:top w:val="single" w:color="auto" w:sz="6" w:space="0"/>
              <w:left w:val="single" w:color="auto" w:sz="6" w:space="0"/>
              <w:bottom w:val="single" w:color="auto" w:sz="6" w:space="0"/>
              <w:right w:val="single" w:color="auto" w:sz="12"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完成停车场建设</w:t>
            </w:r>
          </w:p>
        </w:tc>
      </w:tr>
      <w:tr>
        <w:tblPrEx>
          <w:tblCellMar>
            <w:top w:w="0" w:type="dxa"/>
            <w:left w:w="28" w:type="dxa"/>
            <w:bottom w:w="0" w:type="dxa"/>
            <w:right w:w="28" w:type="dxa"/>
          </w:tblCellMar>
        </w:tblPrEx>
        <w:trPr>
          <w:trHeight w:val="1486" w:hRule="atLeast"/>
          <w:jc w:val="center"/>
        </w:trPr>
        <w:tc>
          <w:tcPr>
            <w:tcW w:w="476"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14</w:t>
            </w:r>
          </w:p>
        </w:tc>
        <w:tc>
          <w:tcPr>
            <w:tcW w:w="14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马涧镇严宅土地整治</w:t>
            </w:r>
          </w:p>
        </w:tc>
        <w:tc>
          <w:tcPr>
            <w:tcW w:w="8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交投</w:t>
            </w:r>
          </w:p>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集团</w:t>
            </w:r>
          </w:p>
        </w:tc>
        <w:tc>
          <w:tcPr>
            <w:tcW w:w="201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垦造耕地1500亩，旱改水700亩。</w:t>
            </w:r>
          </w:p>
        </w:tc>
        <w:tc>
          <w:tcPr>
            <w:tcW w:w="98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2022-2023</w:t>
            </w: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25000</w:t>
            </w:r>
          </w:p>
        </w:tc>
        <w:tc>
          <w:tcPr>
            <w:tcW w:w="103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17000</w:t>
            </w:r>
          </w:p>
        </w:tc>
        <w:tc>
          <w:tcPr>
            <w:tcW w:w="88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17000</w:t>
            </w:r>
          </w:p>
        </w:tc>
        <w:tc>
          <w:tcPr>
            <w:tcW w:w="9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3400</w:t>
            </w:r>
          </w:p>
        </w:tc>
        <w:tc>
          <w:tcPr>
            <w:tcW w:w="98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26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13600</w:t>
            </w:r>
          </w:p>
        </w:tc>
        <w:tc>
          <w:tcPr>
            <w:tcW w:w="202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完成土方平整3609亩，灌溉排水工程完成，田间道路完成22612m，生态修复绿化工程完成，完成竣工验收。</w:t>
            </w:r>
          </w:p>
        </w:tc>
        <w:tc>
          <w:tcPr>
            <w:tcW w:w="212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spacing w:line="26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完成土方平整3609亩，灌溉排水工程完成，田间道路完成22612m，生态修复绿化工程完成，完成竣工验收。</w:t>
            </w:r>
          </w:p>
        </w:tc>
      </w:tr>
      <w:tr>
        <w:tblPrEx>
          <w:tblCellMar>
            <w:top w:w="0" w:type="dxa"/>
            <w:left w:w="28" w:type="dxa"/>
            <w:bottom w:w="0" w:type="dxa"/>
            <w:right w:w="28" w:type="dxa"/>
          </w:tblCellMar>
        </w:tblPrEx>
        <w:trPr>
          <w:trHeight w:val="567" w:hRule="atLeast"/>
          <w:jc w:val="center"/>
        </w:trPr>
        <w:tc>
          <w:tcPr>
            <w:tcW w:w="5754" w:type="dxa"/>
            <w:gridSpan w:val="5"/>
            <w:tcBorders>
              <w:top w:val="single" w:color="auto" w:sz="6" w:space="0"/>
              <w:left w:val="single" w:color="auto" w:sz="12" w:space="0"/>
              <w:bottom w:val="single" w:color="auto" w:sz="12" w:space="0"/>
              <w:right w:val="single" w:color="auto" w:sz="6" w:space="0"/>
            </w:tcBorders>
            <w:shd w:val="clear" w:color="auto" w:fill="auto"/>
            <w:noWrap/>
            <w:vAlign w:val="center"/>
          </w:tcPr>
          <w:p>
            <w:pPr>
              <w:widowControl/>
              <w:spacing w:line="30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合计数</w:t>
            </w:r>
          </w:p>
        </w:tc>
        <w:tc>
          <w:tcPr>
            <w:tcW w:w="811" w:type="dxa"/>
            <w:tcBorders>
              <w:top w:val="single" w:color="auto" w:sz="6" w:space="0"/>
              <w:left w:val="single" w:color="auto" w:sz="6" w:space="0"/>
              <w:bottom w:val="single" w:color="auto" w:sz="12" w:space="0"/>
              <w:right w:val="single" w:color="auto" w:sz="6" w:space="0"/>
            </w:tcBorders>
            <w:shd w:val="clear" w:color="auto" w:fill="auto"/>
            <w:noWrap/>
            <w:vAlign w:val="center"/>
          </w:tcPr>
          <w:p>
            <w:pPr>
              <w:widowControl/>
              <w:spacing w:line="300" w:lineRule="exact"/>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1553833</w:t>
            </w:r>
          </w:p>
        </w:tc>
        <w:tc>
          <w:tcPr>
            <w:tcW w:w="1036" w:type="dxa"/>
            <w:tcBorders>
              <w:top w:val="single" w:color="auto" w:sz="6" w:space="0"/>
              <w:left w:val="single" w:color="auto" w:sz="6" w:space="0"/>
              <w:bottom w:val="single" w:color="auto" w:sz="12" w:space="0"/>
              <w:right w:val="single" w:color="auto" w:sz="6" w:space="0"/>
            </w:tcBorders>
            <w:shd w:val="clear" w:color="auto" w:fill="auto"/>
            <w:noWrap/>
            <w:vAlign w:val="center"/>
          </w:tcPr>
          <w:p>
            <w:pPr>
              <w:widowControl/>
              <w:spacing w:line="300" w:lineRule="exact"/>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348670</w:t>
            </w:r>
          </w:p>
        </w:tc>
        <w:tc>
          <w:tcPr>
            <w:tcW w:w="882" w:type="dxa"/>
            <w:tcBorders>
              <w:top w:val="single" w:color="auto" w:sz="6" w:space="0"/>
              <w:left w:val="single" w:color="auto" w:sz="6" w:space="0"/>
              <w:bottom w:val="single" w:color="auto" w:sz="12" w:space="0"/>
              <w:right w:val="single" w:color="auto" w:sz="6" w:space="0"/>
            </w:tcBorders>
            <w:shd w:val="clear" w:color="auto" w:fill="auto"/>
            <w:noWrap/>
            <w:vAlign w:val="center"/>
          </w:tcPr>
          <w:p>
            <w:pPr>
              <w:widowControl/>
              <w:spacing w:line="300" w:lineRule="exact"/>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55972</w:t>
            </w:r>
          </w:p>
        </w:tc>
        <w:tc>
          <w:tcPr>
            <w:tcW w:w="938" w:type="dxa"/>
            <w:tcBorders>
              <w:top w:val="single" w:color="auto" w:sz="6" w:space="0"/>
              <w:left w:val="single" w:color="auto" w:sz="6" w:space="0"/>
              <w:bottom w:val="single" w:color="auto" w:sz="12" w:space="0"/>
              <w:right w:val="single" w:color="auto" w:sz="6" w:space="0"/>
            </w:tcBorders>
            <w:shd w:val="clear" w:color="auto" w:fill="auto"/>
            <w:noWrap/>
            <w:vAlign w:val="center"/>
          </w:tcPr>
          <w:p>
            <w:pPr>
              <w:widowControl/>
              <w:spacing w:line="300" w:lineRule="exact"/>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6002</w:t>
            </w:r>
          </w:p>
        </w:tc>
        <w:tc>
          <w:tcPr>
            <w:tcW w:w="980" w:type="dxa"/>
            <w:tcBorders>
              <w:top w:val="single" w:color="auto" w:sz="6" w:space="0"/>
              <w:left w:val="single" w:color="auto" w:sz="6" w:space="0"/>
              <w:bottom w:val="single" w:color="auto" w:sz="12" w:space="0"/>
              <w:right w:val="single" w:color="auto" w:sz="6" w:space="0"/>
            </w:tcBorders>
            <w:shd w:val="clear" w:color="auto" w:fill="auto"/>
            <w:noWrap/>
            <w:vAlign w:val="center"/>
          </w:tcPr>
          <w:p>
            <w:pPr>
              <w:widowControl/>
              <w:spacing w:line="300" w:lineRule="exact"/>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49970</w:t>
            </w:r>
          </w:p>
        </w:tc>
        <w:tc>
          <w:tcPr>
            <w:tcW w:w="4157" w:type="dxa"/>
            <w:gridSpan w:val="2"/>
            <w:tcBorders>
              <w:top w:val="single" w:color="auto" w:sz="6" w:space="0"/>
              <w:left w:val="single" w:color="auto" w:sz="6" w:space="0"/>
              <w:bottom w:val="single" w:color="auto" w:sz="12" w:space="0"/>
              <w:right w:val="single" w:color="auto" w:sz="12" w:space="0"/>
            </w:tcBorders>
            <w:shd w:val="clear" w:color="auto" w:fill="auto"/>
            <w:noWrap/>
            <w:vAlign w:val="center"/>
          </w:tcPr>
          <w:p>
            <w:pPr>
              <w:widowControl/>
              <w:spacing w:line="300" w:lineRule="exact"/>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bl>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spacing w:line="600" w:lineRule="exact"/>
        <w:jc w:val="center"/>
        <w:rPr>
          <w:rFonts w:ascii="Times New Roman" w:hAnsi="Times New Roman" w:eastAsia="方正小标宋简体" w:cs="Times New Roman"/>
          <w:color w:val="000000" w:themeColor="text1"/>
          <w:spacing w:val="-6"/>
          <w:kern w:val="0"/>
          <w:sz w:val="44"/>
          <w:szCs w:val="44"/>
        </w:rPr>
      </w:pPr>
    </w:p>
    <w:p>
      <w:pPr>
        <w:pStyle w:val="68"/>
        <w:rPr>
          <w:rFonts w:hint="default" w:ascii="Times New Roman" w:hAnsi="Times New Roman"/>
        </w:rPr>
      </w:pPr>
    </w:p>
    <w:p>
      <w:pPr>
        <w:pStyle w:val="68"/>
        <w:rPr>
          <w:rFonts w:hint="default" w:ascii="Times New Roman" w:hAnsi="Times New Roman"/>
        </w:rPr>
      </w:pPr>
    </w:p>
    <w:p>
      <w:pPr>
        <w:pStyle w:val="68"/>
        <w:rPr>
          <w:rFonts w:hint="default" w:ascii="Times New Roman" w:hAnsi="Times New Roman"/>
        </w:rPr>
      </w:pPr>
    </w:p>
    <w:p>
      <w:pPr>
        <w:pStyle w:val="4"/>
        <w:spacing w:line="600" w:lineRule="exact"/>
        <w:ind w:firstLine="0"/>
        <w:rPr>
          <w:rFonts w:ascii="Times New Roman" w:hAnsi="Times New Roman" w:eastAsia="方正小标宋简体"/>
          <w:color w:val="000000" w:themeColor="text1"/>
          <w:spacing w:val="-6"/>
          <w:kern w:val="0"/>
          <w:sz w:val="44"/>
          <w:szCs w:val="44"/>
        </w:rPr>
      </w:pPr>
      <w:r>
        <w:rPr>
          <w:rFonts w:ascii="Times New Roman" w:hAnsi="Times New Roman" w:eastAsiaTheme="minorEastAsia"/>
          <w:sz w:val="21"/>
          <w:szCs w:val="22"/>
        </w:rPr>
        <w:pict>
          <v:line id="直接连接符 3" o:spid="_x0000_s2050" o:spt="20" style="position:absolute;left:0pt;margin-left:-1.95pt;margin-top:30.15pt;height:0pt;width:694.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ZwzAEAAF0DAAAOAAAAZHJzL2Uyb0RvYy54bWysU81uEzEQviPxDpbvZDetQGGVTQ+pyqVA&#10;pJYHmHi9uxa2x7Kd7OYleAEkbnDiyJ23aXkMxs4PbbkhchhlPDOfv+8b7/xiNJptpQ8Kbc2nk5Iz&#10;aQU2ynY1/3B79WLGWYhgG9BoZc13MvCLxfNn88FV8gx71I30jEBsqAZX8z5GVxVFEL00ECbopKVi&#10;i95ApNR3ReNhIHSji7OyfFUM6BvnUcgQ6PRyX+SLjN+2UsT3bRtkZLrmxC3m6HNcp1gs5lB1Hlyv&#10;xIEG/AMLA8rSpSeoS4jANl79BWWU8BiwjROBpsC2VUJmDaRmWj5Rc9ODk1kLmRPcyabw/2DFu+3K&#10;M9XU/JwzC4ZWdP/5x92nr79+fqF4//0bO08mDS5U1Lu0K59kitHeuGsUHwOzuOzBdjKTvd05Qpim&#10;ieLRSEqCo6vWw1tsqAc2EbNjY+tNgiQv2JgXszstRo6RCTqczcidl7Q/cawVUB0HnQ/xjUTD0p+a&#10;a2WTZ1DB9jrERASqY0s6tniltM5715YNxPZ1SdCpFFCrJlVz4rv1Unu2hfR08i/LetLmcWOb/S3a&#10;HlQnoXvL1tjsVv7oBu0w0zm8t/RIHuZ5+s9XsfgNAAD//wMAUEsDBBQABgAIAAAAIQBTwKvh3QAA&#10;AAkBAAAPAAAAZHJzL2Rvd25yZXYueG1sTI/BTsMwDIbvSLxDZCRuWzrKpq5rOsEkLrtRJuDoNV5b&#10;0ThVk3Xt25OJAzva/6/Pn7PtaFoxUO8aywoW8wgEcWl1w5WCw8fbLAHhPLLG1jIpmMjBNr+/yzDV&#10;9sLvNBS+EgHCLkUFtfddKqUrazLo5rYjDtnJ9gZ9GPtK6h4vAW5a+RRFK2mw4XChxo52NZU/xdkE&#10;yvIred1jcpimtvheP+8+9wMbpR4fxpcNCE+j/y/DVT+oQx6cjvbM2olWwSxeh6aCVRSDuOZxslyA&#10;OP5tZJ7J2w/yXwAAAP//AwBQSwECLQAUAAYACAAAACEAtoM4kv4AAADhAQAAEwAAAAAAAAAAAAAA&#10;AAAAAAAAW0NvbnRlbnRfVHlwZXNdLnhtbFBLAQItABQABgAIAAAAIQA4/SH/1gAAAJQBAAALAAAA&#10;AAAAAAAAAAAAAC8BAABfcmVscy8ucmVsc1BLAQItABQABgAIAAAAIQDYQ9ZwzAEAAF0DAAAOAAAA&#10;AAAAAAAAAAAAAC4CAABkcnMvZTJvRG9jLnhtbFBLAQItABQABgAIAAAAIQBTwKvh3QAAAAkBAAAP&#10;AAAAAAAAAAAAAAAAACYEAABkcnMvZG93bnJldi54bWxQSwUGAAAAAAQABADzAAAAMAUAAAAA&#10;">
            <v:path arrowok="t"/>
            <v:fill focussize="0,0"/>
            <v:stroke weight="1.5pt"/>
            <v:imagedata o:title=""/>
            <o:lock v:ext="edit"/>
          </v:line>
        </w:pict>
      </w:r>
      <w:r>
        <w:rPr>
          <w:rFonts w:ascii="Times New Roman" w:hAnsi="Times New Roman" w:eastAsiaTheme="minorEastAsia"/>
          <w:sz w:val="21"/>
          <w:szCs w:val="22"/>
        </w:rPr>
        <w:pict>
          <v:line id="直接连接符 1" o:spid="_x0000_s2051" o:spt="20" style="position:absolute;left:0pt;margin-left:-0.75pt;margin-top:1.45pt;height:0pt;width:694.5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thSzQEAAFwDAAAOAAAAZHJzL2Uyb0RvYy54bWysU8GO0zAQvSPxD5bvNG2lohI13UNXy2WB&#10;Srt8wNR2EgvbY9lu0/4EP4DEDU4cufM3LJ/B2N0WdveGyGEUz7x5mXnPWVzsrWE7FaJG1/DJaMyZ&#10;cgKldl3D399evZhzFhM4CQadavhBRX6xfP5sMfhaTbFHI1VgROJiPfiG9yn5uqqi6JWFOEKvHBVb&#10;DBYSHUNXyQADsVtTTcfjl9WAQfqAQsVI2ctjkS8Lf9sqkd61bVSJmYbTbKnEUOImx2q5gLoL4Hst&#10;7seAf5jCgnb00TPVJSRg26CfUFktAkZs00igrbBttVBlB9pmMn60zU0PXpVdSJzozzLF/0cr3u7W&#10;gWlJ3nHmwJJFd5++//z45dePzxTvvn1lkyzS4GNN2JVbh7ym2Lsbf43iQ2QOVz24TpVhbw+eGEpH&#10;9aAlH6KnT22GNygJA9uERbF9G2ymJC3YvhhzOBuj9okJSs7npM6M/BOnWgX1qdGHmF4rtCy/NNxo&#10;lzWDGnbXMdHoBD1BctrhlTam+G4cGxr+ajadlYaIRstczLAYus3KBLaDfHPKk3UgsgewgFsnj3nj&#10;qHza86jYBuVhHXI558nCQnB/3fId+ftcUH9+iuVvAAAA//8DAFBLAwQUAAYACAAAACEA9S3i5NoA&#10;AAAHAQAADwAAAGRycy9kb3ducmV2LnhtbEyOzU7DMBCE70i8g7VIXKrWaSqghGwqBOTGpQXEdRsv&#10;SUS8TmO3DTw9Lhc4zo9mvnw12k4dePCtE4T5LAHFUjnTSo3w+lJOl6B8IDHUOWGEL/awKs7PcsqM&#10;O8qaD5tQqzgiPiOEJoQ+09pXDVvyM9ezxOzDDZZClEOtzUDHOG47nSbJtbbUSnxoqOeHhqvPzd4i&#10;+PKNd+X3pJok74vacbp7fH4ixMuL8f4OVOAx/JXhhB/RoYhMW7cX41WHMJ1fxSZCegvqFC+WN9HY&#10;/hq6yPV//uIHAAD//wMAUEsBAi0AFAAGAAgAAAAhALaDOJL+AAAA4QEAABMAAAAAAAAAAAAAAAAA&#10;AAAAAFtDb250ZW50X1R5cGVzXS54bWxQSwECLQAUAAYACAAAACEAOP0h/9YAAACUAQAACwAAAAAA&#10;AAAAAAAAAAAvAQAAX3JlbHMvLnJlbHNQSwECLQAUAAYACAAAACEA3u7YUs0BAABcAwAADgAAAAAA&#10;AAAAAAAAAAAuAgAAZHJzL2Uyb0RvYy54bWxQSwECLQAUAAYACAAAACEA9S3i5NoAAAAHAQAADwAA&#10;AAAAAAAAAAAAAAAnBAAAZHJzL2Rvd25yZXYueG1sUEsFBgAAAAAEAAQA8wAAAC4FAAAAAA==&#10;">
            <v:path arrowok="t"/>
            <v:fill focussize="0,0"/>
            <v:stroke/>
            <v:imagedata o:title=""/>
            <o:lock v:ext="edit"/>
          </v:line>
        </w:pict>
      </w:r>
      <w:r>
        <w:rPr>
          <w:rFonts w:ascii="Times New Roman" w:hAnsi="Times New Roman"/>
        </w:rPr>
        <w:t>市十七届人大二次会议秘书处                                              2023年1月印</w:t>
      </w:r>
    </w:p>
    <w:sectPr>
      <w:footerReference r:id="rId5" w:type="default"/>
      <w:pgSz w:w="16840" w:h="11907" w:orient="landscape"/>
      <w:pgMar w:top="1588" w:right="1701" w:bottom="1588" w:left="1588" w:header="964" w:footer="992" w:gutter="0"/>
      <w:pgNumType w:start="78"/>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8113076"/>
    </w:sdtPr>
    <w:sdtEndPr>
      <w:rPr>
        <w:rFonts w:ascii="Times New Roman" w:hAnsi="Times New Roman" w:cs="Times New Roman"/>
        <w:sz w:val="24"/>
        <w:szCs w:val="24"/>
      </w:rPr>
    </w:sdtEndPr>
    <w:sdt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3</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8113076"/>
    </w:sdtPr>
    <w:sdtEndPr>
      <w:rPr>
        <w:rFonts w:ascii="Times New Roman" w:hAnsi="Times New Roman" w:cs="Times New Roman"/>
        <w:sz w:val="24"/>
        <w:szCs w:val="24"/>
      </w:rPr>
    </w:sdtEndPr>
    <w:sdt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3</w:t>
        </w:r>
        <w:r>
          <w:rPr>
            <w:rFonts w:ascii="Times New Roman" w:hAnsi="Times New Roman" w:cs="Times New Roman"/>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RmMWM4MjNhNDllY2I5OGY2MTYwYTZkY2YzZmM3ZTkifQ=="/>
  </w:docVars>
  <w:rsids>
    <w:rsidRoot w:val="00A262A3"/>
    <w:rsid w:val="00007F30"/>
    <w:rsid w:val="00012180"/>
    <w:rsid w:val="000155D5"/>
    <w:rsid w:val="00021352"/>
    <w:rsid w:val="00022491"/>
    <w:rsid w:val="00033379"/>
    <w:rsid w:val="000463C9"/>
    <w:rsid w:val="00046E35"/>
    <w:rsid w:val="00061AC4"/>
    <w:rsid w:val="00086F05"/>
    <w:rsid w:val="00093F0C"/>
    <w:rsid w:val="00094810"/>
    <w:rsid w:val="000A300F"/>
    <w:rsid w:val="000B01F0"/>
    <w:rsid w:val="000C3C81"/>
    <w:rsid w:val="000C6539"/>
    <w:rsid w:val="000D70A3"/>
    <w:rsid w:val="000D7E37"/>
    <w:rsid w:val="000E76BD"/>
    <w:rsid w:val="001130AA"/>
    <w:rsid w:val="00113E94"/>
    <w:rsid w:val="0011640E"/>
    <w:rsid w:val="001166BB"/>
    <w:rsid w:val="001173D6"/>
    <w:rsid w:val="0012030F"/>
    <w:rsid w:val="00135F98"/>
    <w:rsid w:val="00141570"/>
    <w:rsid w:val="001534D8"/>
    <w:rsid w:val="00160243"/>
    <w:rsid w:val="0016279C"/>
    <w:rsid w:val="00174901"/>
    <w:rsid w:val="001835AE"/>
    <w:rsid w:val="00190FEC"/>
    <w:rsid w:val="001931FD"/>
    <w:rsid w:val="001B7FCC"/>
    <w:rsid w:val="001C3796"/>
    <w:rsid w:val="001D21F8"/>
    <w:rsid w:val="001E460F"/>
    <w:rsid w:val="001E7534"/>
    <w:rsid w:val="002063BC"/>
    <w:rsid w:val="00212899"/>
    <w:rsid w:val="0021550C"/>
    <w:rsid w:val="002167FB"/>
    <w:rsid w:val="00221DAB"/>
    <w:rsid w:val="0022339C"/>
    <w:rsid w:val="00225B7B"/>
    <w:rsid w:val="00234170"/>
    <w:rsid w:val="00236654"/>
    <w:rsid w:val="00243485"/>
    <w:rsid w:val="00245AB0"/>
    <w:rsid w:val="00260F36"/>
    <w:rsid w:val="00272A34"/>
    <w:rsid w:val="002763E5"/>
    <w:rsid w:val="00280F0D"/>
    <w:rsid w:val="00281187"/>
    <w:rsid w:val="0028417F"/>
    <w:rsid w:val="002860F9"/>
    <w:rsid w:val="00286945"/>
    <w:rsid w:val="0029542A"/>
    <w:rsid w:val="002B06AB"/>
    <w:rsid w:val="002B5C29"/>
    <w:rsid w:val="002C176F"/>
    <w:rsid w:val="002D7B51"/>
    <w:rsid w:val="002D7F9F"/>
    <w:rsid w:val="002E049C"/>
    <w:rsid w:val="002E5A0E"/>
    <w:rsid w:val="002E6FC8"/>
    <w:rsid w:val="002F71C0"/>
    <w:rsid w:val="002F738B"/>
    <w:rsid w:val="00300245"/>
    <w:rsid w:val="003011A6"/>
    <w:rsid w:val="00301CA3"/>
    <w:rsid w:val="00302B34"/>
    <w:rsid w:val="003049B2"/>
    <w:rsid w:val="00310D6B"/>
    <w:rsid w:val="0031338F"/>
    <w:rsid w:val="003134B4"/>
    <w:rsid w:val="003272FD"/>
    <w:rsid w:val="003276F9"/>
    <w:rsid w:val="003302A5"/>
    <w:rsid w:val="00335905"/>
    <w:rsid w:val="003453EC"/>
    <w:rsid w:val="003530E1"/>
    <w:rsid w:val="00362C71"/>
    <w:rsid w:val="00364750"/>
    <w:rsid w:val="00377CD4"/>
    <w:rsid w:val="00387E8C"/>
    <w:rsid w:val="003B37A3"/>
    <w:rsid w:val="003B5CA2"/>
    <w:rsid w:val="003C5AF9"/>
    <w:rsid w:val="003C6BA6"/>
    <w:rsid w:val="003D7D8D"/>
    <w:rsid w:val="00403433"/>
    <w:rsid w:val="004059C5"/>
    <w:rsid w:val="00407128"/>
    <w:rsid w:val="00410F38"/>
    <w:rsid w:val="00413C41"/>
    <w:rsid w:val="00414F24"/>
    <w:rsid w:val="00415C00"/>
    <w:rsid w:val="004225FC"/>
    <w:rsid w:val="00434990"/>
    <w:rsid w:val="004469A5"/>
    <w:rsid w:val="00465AF8"/>
    <w:rsid w:val="00481837"/>
    <w:rsid w:val="004932A8"/>
    <w:rsid w:val="004A3EFA"/>
    <w:rsid w:val="004B14EB"/>
    <w:rsid w:val="004B6A12"/>
    <w:rsid w:val="004B6BBA"/>
    <w:rsid w:val="004B70F5"/>
    <w:rsid w:val="004B794B"/>
    <w:rsid w:val="004B7FC8"/>
    <w:rsid w:val="004C1477"/>
    <w:rsid w:val="004D3834"/>
    <w:rsid w:val="004E2E44"/>
    <w:rsid w:val="004F54E9"/>
    <w:rsid w:val="0051272F"/>
    <w:rsid w:val="00520939"/>
    <w:rsid w:val="00526A3B"/>
    <w:rsid w:val="0054603B"/>
    <w:rsid w:val="00560CC5"/>
    <w:rsid w:val="00575E63"/>
    <w:rsid w:val="005A4723"/>
    <w:rsid w:val="005B06D6"/>
    <w:rsid w:val="005D198B"/>
    <w:rsid w:val="005E267F"/>
    <w:rsid w:val="005E6288"/>
    <w:rsid w:val="005F1B96"/>
    <w:rsid w:val="005F7398"/>
    <w:rsid w:val="00606FF0"/>
    <w:rsid w:val="00617724"/>
    <w:rsid w:val="00621EEA"/>
    <w:rsid w:val="00624291"/>
    <w:rsid w:val="00624579"/>
    <w:rsid w:val="00630402"/>
    <w:rsid w:val="006349CD"/>
    <w:rsid w:val="00634AB1"/>
    <w:rsid w:val="00640E72"/>
    <w:rsid w:val="00646902"/>
    <w:rsid w:val="00647259"/>
    <w:rsid w:val="006533E8"/>
    <w:rsid w:val="00654CF1"/>
    <w:rsid w:val="00673301"/>
    <w:rsid w:val="00673EFF"/>
    <w:rsid w:val="00676000"/>
    <w:rsid w:val="006833D1"/>
    <w:rsid w:val="00690B1F"/>
    <w:rsid w:val="00690D0F"/>
    <w:rsid w:val="006B1C4F"/>
    <w:rsid w:val="006C1E4C"/>
    <w:rsid w:val="006C3E16"/>
    <w:rsid w:val="006D0112"/>
    <w:rsid w:val="006D41F6"/>
    <w:rsid w:val="006E5B26"/>
    <w:rsid w:val="006F4019"/>
    <w:rsid w:val="007001F7"/>
    <w:rsid w:val="007022E6"/>
    <w:rsid w:val="00705A66"/>
    <w:rsid w:val="00713766"/>
    <w:rsid w:val="0071402B"/>
    <w:rsid w:val="00715E98"/>
    <w:rsid w:val="007211BF"/>
    <w:rsid w:val="00727CD6"/>
    <w:rsid w:val="00735FAD"/>
    <w:rsid w:val="00736B0D"/>
    <w:rsid w:val="00752D04"/>
    <w:rsid w:val="00763989"/>
    <w:rsid w:val="00772B09"/>
    <w:rsid w:val="0078104E"/>
    <w:rsid w:val="00782AFC"/>
    <w:rsid w:val="00787C03"/>
    <w:rsid w:val="00790149"/>
    <w:rsid w:val="007A0B6F"/>
    <w:rsid w:val="007A10C8"/>
    <w:rsid w:val="007C3945"/>
    <w:rsid w:val="007C58DE"/>
    <w:rsid w:val="007D4311"/>
    <w:rsid w:val="007E1254"/>
    <w:rsid w:val="007E3FC1"/>
    <w:rsid w:val="007F6D21"/>
    <w:rsid w:val="0080731D"/>
    <w:rsid w:val="00816CC0"/>
    <w:rsid w:val="008221DB"/>
    <w:rsid w:val="00822268"/>
    <w:rsid w:val="0082679A"/>
    <w:rsid w:val="008343CE"/>
    <w:rsid w:val="00841CAC"/>
    <w:rsid w:val="00844A25"/>
    <w:rsid w:val="00852FDF"/>
    <w:rsid w:val="00861C3F"/>
    <w:rsid w:val="00863F72"/>
    <w:rsid w:val="00865981"/>
    <w:rsid w:val="00866316"/>
    <w:rsid w:val="00877C6E"/>
    <w:rsid w:val="0088050E"/>
    <w:rsid w:val="008875D3"/>
    <w:rsid w:val="008A0ABD"/>
    <w:rsid w:val="008B1669"/>
    <w:rsid w:val="008B5294"/>
    <w:rsid w:val="008B5CAD"/>
    <w:rsid w:val="008B7B98"/>
    <w:rsid w:val="008C1BB5"/>
    <w:rsid w:val="008C6573"/>
    <w:rsid w:val="008D2FFD"/>
    <w:rsid w:val="008D7405"/>
    <w:rsid w:val="008F01F4"/>
    <w:rsid w:val="008F10E1"/>
    <w:rsid w:val="00911ED9"/>
    <w:rsid w:val="009145D5"/>
    <w:rsid w:val="00921484"/>
    <w:rsid w:val="009217B6"/>
    <w:rsid w:val="009219EE"/>
    <w:rsid w:val="00926ECC"/>
    <w:rsid w:val="00931C71"/>
    <w:rsid w:val="00941131"/>
    <w:rsid w:val="00951526"/>
    <w:rsid w:val="00957399"/>
    <w:rsid w:val="0095759C"/>
    <w:rsid w:val="00963E0C"/>
    <w:rsid w:val="00967A9B"/>
    <w:rsid w:val="00976AF8"/>
    <w:rsid w:val="009776EB"/>
    <w:rsid w:val="009922A8"/>
    <w:rsid w:val="009A0EBB"/>
    <w:rsid w:val="009A73EB"/>
    <w:rsid w:val="009B0E2A"/>
    <w:rsid w:val="009B43A1"/>
    <w:rsid w:val="009B7DD4"/>
    <w:rsid w:val="009C0DE6"/>
    <w:rsid w:val="009E4C00"/>
    <w:rsid w:val="009E4FCE"/>
    <w:rsid w:val="009E57E8"/>
    <w:rsid w:val="009F0DA0"/>
    <w:rsid w:val="009F3715"/>
    <w:rsid w:val="00A072DF"/>
    <w:rsid w:val="00A11729"/>
    <w:rsid w:val="00A136DD"/>
    <w:rsid w:val="00A208F8"/>
    <w:rsid w:val="00A22C53"/>
    <w:rsid w:val="00A262A3"/>
    <w:rsid w:val="00A300C5"/>
    <w:rsid w:val="00A35264"/>
    <w:rsid w:val="00A43831"/>
    <w:rsid w:val="00A43C93"/>
    <w:rsid w:val="00A5335F"/>
    <w:rsid w:val="00A55BC9"/>
    <w:rsid w:val="00A5615C"/>
    <w:rsid w:val="00A56482"/>
    <w:rsid w:val="00A57372"/>
    <w:rsid w:val="00A710B3"/>
    <w:rsid w:val="00A754DA"/>
    <w:rsid w:val="00A82004"/>
    <w:rsid w:val="00A82736"/>
    <w:rsid w:val="00A86335"/>
    <w:rsid w:val="00A873EE"/>
    <w:rsid w:val="00A87F8D"/>
    <w:rsid w:val="00A90C7A"/>
    <w:rsid w:val="00A93476"/>
    <w:rsid w:val="00A958C5"/>
    <w:rsid w:val="00A9670D"/>
    <w:rsid w:val="00AA1351"/>
    <w:rsid w:val="00AB6233"/>
    <w:rsid w:val="00AB7AE6"/>
    <w:rsid w:val="00AC22E1"/>
    <w:rsid w:val="00AC41A2"/>
    <w:rsid w:val="00AC729C"/>
    <w:rsid w:val="00AC77A9"/>
    <w:rsid w:val="00AD1320"/>
    <w:rsid w:val="00AD4EAA"/>
    <w:rsid w:val="00AD5563"/>
    <w:rsid w:val="00AE7F2E"/>
    <w:rsid w:val="00AF065C"/>
    <w:rsid w:val="00AF194F"/>
    <w:rsid w:val="00AF6F8C"/>
    <w:rsid w:val="00B3349D"/>
    <w:rsid w:val="00B412CC"/>
    <w:rsid w:val="00B50C72"/>
    <w:rsid w:val="00B528F0"/>
    <w:rsid w:val="00B54257"/>
    <w:rsid w:val="00B64357"/>
    <w:rsid w:val="00B67960"/>
    <w:rsid w:val="00B70FAC"/>
    <w:rsid w:val="00B75ED4"/>
    <w:rsid w:val="00B77331"/>
    <w:rsid w:val="00B81903"/>
    <w:rsid w:val="00BA6205"/>
    <w:rsid w:val="00BB7093"/>
    <w:rsid w:val="00BC33BB"/>
    <w:rsid w:val="00BC36B1"/>
    <w:rsid w:val="00BC3912"/>
    <w:rsid w:val="00BE1789"/>
    <w:rsid w:val="00BE2010"/>
    <w:rsid w:val="00BE66DF"/>
    <w:rsid w:val="00BE6C55"/>
    <w:rsid w:val="00BE70D9"/>
    <w:rsid w:val="00BF120C"/>
    <w:rsid w:val="00C17F72"/>
    <w:rsid w:val="00C222E4"/>
    <w:rsid w:val="00C31155"/>
    <w:rsid w:val="00C32236"/>
    <w:rsid w:val="00C47974"/>
    <w:rsid w:val="00C527F5"/>
    <w:rsid w:val="00C53849"/>
    <w:rsid w:val="00C73224"/>
    <w:rsid w:val="00C95F0C"/>
    <w:rsid w:val="00CA204B"/>
    <w:rsid w:val="00CC3888"/>
    <w:rsid w:val="00CC5D56"/>
    <w:rsid w:val="00CE03DD"/>
    <w:rsid w:val="00CE55DC"/>
    <w:rsid w:val="00D30517"/>
    <w:rsid w:val="00D356A5"/>
    <w:rsid w:val="00D41090"/>
    <w:rsid w:val="00D41E43"/>
    <w:rsid w:val="00D5442A"/>
    <w:rsid w:val="00D67904"/>
    <w:rsid w:val="00D87552"/>
    <w:rsid w:val="00D90EF2"/>
    <w:rsid w:val="00DB2710"/>
    <w:rsid w:val="00DB4DB5"/>
    <w:rsid w:val="00DB7B96"/>
    <w:rsid w:val="00DD583A"/>
    <w:rsid w:val="00DD7A70"/>
    <w:rsid w:val="00E0436A"/>
    <w:rsid w:val="00E0725E"/>
    <w:rsid w:val="00E10638"/>
    <w:rsid w:val="00E17525"/>
    <w:rsid w:val="00E17F6D"/>
    <w:rsid w:val="00E220BB"/>
    <w:rsid w:val="00E22D10"/>
    <w:rsid w:val="00E330D7"/>
    <w:rsid w:val="00E36458"/>
    <w:rsid w:val="00E53156"/>
    <w:rsid w:val="00E5464B"/>
    <w:rsid w:val="00E54AB5"/>
    <w:rsid w:val="00E65448"/>
    <w:rsid w:val="00E802D7"/>
    <w:rsid w:val="00E84F9B"/>
    <w:rsid w:val="00E85268"/>
    <w:rsid w:val="00E85D25"/>
    <w:rsid w:val="00E939C4"/>
    <w:rsid w:val="00EB3825"/>
    <w:rsid w:val="00EC5692"/>
    <w:rsid w:val="00ED0941"/>
    <w:rsid w:val="00ED2339"/>
    <w:rsid w:val="00EE2C59"/>
    <w:rsid w:val="00EE3E59"/>
    <w:rsid w:val="00F21F82"/>
    <w:rsid w:val="00F24847"/>
    <w:rsid w:val="00F34EB0"/>
    <w:rsid w:val="00F51B65"/>
    <w:rsid w:val="00F564A1"/>
    <w:rsid w:val="00F64AAE"/>
    <w:rsid w:val="00F65FA5"/>
    <w:rsid w:val="00F8278D"/>
    <w:rsid w:val="00FA098A"/>
    <w:rsid w:val="00FA1320"/>
    <w:rsid w:val="00FA2EF4"/>
    <w:rsid w:val="00FA45A7"/>
    <w:rsid w:val="00FB367B"/>
    <w:rsid w:val="00FC2984"/>
    <w:rsid w:val="00FD5AC4"/>
    <w:rsid w:val="00FE3EAF"/>
    <w:rsid w:val="00FE5AF5"/>
    <w:rsid w:val="00FF0AC9"/>
    <w:rsid w:val="00FF56D1"/>
    <w:rsid w:val="0B9C6324"/>
    <w:rsid w:val="0FCA2C07"/>
    <w:rsid w:val="17B976D6"/>
    <w:rsid w:val="17F2E5C4"/>
    <w:rsid w:val="1A1E6455"/>
    <w:rsid w:val="1A6B6680"/>
    <w:rsid w:val="1EA858CA"/>
    <w:rsid w:val="213D6FAA"/>
    <w:rsid w:val="24121C0F"/>
    <w:rsid w:val="288C1257"/>
    <w:rsid w:val="28EF6279"/>
    <w:rsid w:val="2950606F"/>
    <w:rsid w:val="2BBE510A"/>
    <w:rsid w:val="2D783292"/>
    <w:rsid w:val="2DFFD639"/>
    <w:rsid w:val="36DF079D"/>
    <w:rsid w:val="37117006"/>
    <w:rsid w:val="3B7C30A0"/>
    <w:rsid w:val="3BEFC5DC"/>
    <w:rsid w:val="3DC71AF3"/>
    <w:rsid w:val="3E806EFB"/>
    <w:rsid w:val="3EAE554D"/>
    <w:rsid w:val="3FE633B3"/>
    <w:rsid w:val="45B8BD14"/>
    <w:rsid w:val="4B326133"/>
    <w:rsid w:val="4BFD94FA"/>
    <w:rsid w:val="5776E53E"/>
    <w:rsid w:val="5D5F3174"/>
    <w:rsid w:val="5EFAB9ED"/>
    <w:rsid w:val="64BB7FC0"/>
    <w:rsid w:val="689B6DD6"/>
    <w:rsid w:val="6ED17B33"/>
    <w:rsid w:val="70B5FEF5"/>
    <w:rsid w:val="718F022A"/>
    <w:rsid w:val="74485285"/>
    <w:rsid w:val="770F9B19"/>
    <w:rsid w:val="77AE8D26"/>
    <w:rsid w:val="789F5B7D"/>
    <w:rsid w:val="7AFEAB1B"/>
    <w:rsid w:val="7B61AE64"/>
    <w:rsid w:val="7BC721F4"/>
    <w:rsid w:val="7C5B7C8A"/>
    <w:rsid w:val="7DC637EB"/>
    <w:rsid w:val="7F0A6B97"/>
    <w:rsid w:val="7F66C0A2"/>
    <w:rsid w:val="7F7BA02C"/>
    <w:rsid w:val="7FABE6C2"/>
    <w:rsid w:val="7FB9CFF4"/>
    <w:rsid w:val="8CFF0976"/>
    <w:rsid w:val="AD758E6F"/>
    <w:rsid w:val="BC6D6B27"/>
    <w:rsid w:val="BEB79110"/>
    <w:rsid w:val="CAE7EE02"/>
    <w:rsid w:val="CE7D172B"/>
    <w:rsid w:val="D7BE83F9"/>
    <w:rsid w:val="DDFFA18F"/>
    <w:rsid w:val="DF73BC70"/>
    <w:rsid w:val="DF7A90F1"/>
    <w:rsid w:val="DF7FF5E6"/>
    <w:rsid w:val="DFDFA666"/>
    <w:rsid w:val="EBF97EE9"/>
    <w:rsid w:val="EEBAA5E6"/>
    <w:rsid w:val="EF531853"/>
    <w:rsid w:val="EFE741BA"/>
    <w:rsid w:val="F3AB4D6A"/>
    <w:rsid w:val="F3AD7CC2"/>
    <w:rsid w:val="F4B2E340"/>
    <w:rsid w:val="F7DF197A"/>
    <w:rsid w:val="F7EFA74D"/>
    <w:rsid w:val="F7FDBA6C"/>
    <w:rsid w:val="F9EB0D27"/>
    <w:rsid w:val="FBDBD07B"/>
    <w:rsid w:val="FBFD200F"/>
    <w:rsid w:val="FC379B33"/>
    <w:rsid w:val="FCAFEBDA"/>
    <w:rsid w:val="FEBBCEB6"/>
    <w:rsid w:val="FFAF836F"/>
    <w:rsid w:val="FFEF8C6A"/>
    <w:rsid w:val="FFFE461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0"/>
    <w:qFormat/>
    <w:uiPriority w:val="9"/>
    <w:pPr>
      <w:keepNext/>
      <w:keepLines/>
      <w:spacing w:before="260" w:after="260" w:line="413" w:lineRule="auto"/>
      <w:outlineLvl w:val="2"/>
    </w:pPr>
    <w:rPr>
      <w:rFonts w:ascii="Times New Roman" w:hAnsi="Times New Roman" w:eastAsia="宋体" w:cs="Times New Roman"/>
      <w:b/>
      <w:color w:val="000000"/>
      <w:kern w:val="0"/>
      <w:sz w:val="32"/>
      <w:szCs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73"/>
    <w:qFormat/>
    <w:uiPriority w:val="0"/>
    <w:pPr>
      <w:jc w:val="left"/>
    </w:pPr>
    <w:rPr>
      <w:rFonts w:ascii="Times New Roman" w:hAnsi="Times New Roman" w:eastAsia="宋体" w:cs="Times New Roman"/>
      <w:color w:val="000000"/>
      <w:kern w:val="0"/>
      <w:szCs w:val="24"/>
    </w:rPr>
  </w:style>
  <w:style w:type="paragraph" w:styleId="4">
    <w:name w:val="Body Text Indent"/>
    <w:basedOn w:val="1"/>
    <w:link w:val="71"/>
    <w:qFormat/>
    <w:uiPriority w:val="99"/>
    <w:pPr>
      <w:spacing w:line="540" w:lineRule="exact"/>
      <w:ind w:firstLine="640"/>
    </w:pPr>
    <w:rPr>
      <w:rFonts w:ascii="仿宋_GB2312" w:hAnsi="仿宋_GB2312" w:eastAsia="仿宋_GB2312" w:cs="Times New Roman"/>
      <w:color w:val="000000"/>
      <w:kern w:val="1"/>
      <w:sz w:val="32"/>
      <w:szCs w:val="32"/>
    </w:rPr>
  </w:style>
  <w:style w:type="paragraph" w:styleId="5">
    <w:name w:val="footer"/>
    <w:basedOn w:val="1"/>
    <w:link w:val="67"/>
    <w:unhideWhenUsed/>
    <w:qFormat/>
    <w:uiPriority w:val="99"/>
    <w:pPr>
      <w:tabs>
        <w:tab w:val="center" w:pos="4153"/>
        <w:tab w:val="right" w:pos="8306"/>
      </w:tabs>
      <w:snapToGrid w:val="0"/>
      <w:jc w:val="left"/>
    </w:pPr>
    <w:rPr>
      <w:sz w:val="18"/>
      <w:szCs w:val="18"/>
    </w:rPr>
  </w:style>
  <w:style w:type="paragraph" w:styleId="6">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unhideWhenUsed/>
    <w:qFormat/>
    <w:uiPriority w:val="99"/>
    <w:rPr>
      <w:color w:val="800080"/>
      <w:u w:val="single"/>
    </w:rPr>
  </w:style>
  <w:style w:type="character" w:styleId="11">
    <w:name w:val="Hyperlink"/>
    <w:basedOn w:val="9"/>
    <w:unhideWhenUsed/>
    <w:qFormat/>
    <w:uiPriority w:val="99"/>
    <w:rPr>
      <w:color w:val="0000FF"/>
      <w:u w:val="single"/>
    </w:rPr>
  </w:style>
  <w:style w:type="paragraph" w:customStyle="1" w:styleId="12">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font5"/>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4">
    <w:name w:val="font6"/>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15">
    <w:name w:val="font7"/>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6">
    <w:name w:val="font8"/>
    <w:basedOn w:val="1"/>
    <w:qFormat/>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17">
    <w:name w:val="font9"/>
    <w:basedOn w:val="1"/>
    <w:qFormat/>
    <w:uiPriority w:val="0"/>
    <w:pPr>
      <w:widowControl/>
      <w:spacing w:before="100" w:beforeAutospacing="1" w:after="100" w:afterAutospacing="1"/>
      <w:jc w:val="left"/>
    </w:pPr>
    <w:rPr>
      <w:rFonts w:ascii="Times New Roman" w:hAnsi="Times New Roman" w:eastAsia="宋体" w:cs="Times New Roman"/>
      <w:color w:val="FF0000"/>
      <w:kern w:val="0"/>
      <w:sz w:val="24"/>
      <w:szCs w:val="24"/>
    </w:rPr>
  </w:style>
  <w:style w:type="paragraph" w:customStyle="1" w:styleId="18">
    <w:name w:val="font10"/>
    <w:basedOn w:val="1"/>
    <w:qFormat/>
    <w:uiPriority w:val="0"/>
    <w:pPr>
      <w:widowControl/>
      <w:spacing w:before="100" w:beforeAutospacing="1" w:after="100" w:afterAutospacing="1"/>
      <w:jc w:val="left"/>
    </w:pPr>
    <w:rPr>
      <w:rFonts w:ascii="楷体_GB2312" w:hAnsi="宋体" w:eastAsia="楷体_GB2312" w:cs="宋体"/>
      <w:color w:val="000000"/>
      <w:kern w:val="0"/>
      <w:sz w:val="24"/>
      <w:szCs w:val="24"/>
    </w:rPr>
  </w:style>
  <w:style w:type="paragraph" w:customStyle="1" w:styleId="19">
    <w:name w:val="font11"/>
    <w:basedOn w:val="1"/>
    <w:qFormat/>
    <w:uiPriority w:val="0"/>
    <w:pPr>
      <w:widowControl/>
      <w:spacing w:before="100" w:beforeAutospacing="1" w:after="100" w:afterAutospacing="1"/>
      <w:jc w:val="left"/>
    </w:pPr>
    <w:rPr>
      <w:rFonts w:ascii="黑体" w:hAnsi="黑体" w:eastAsia="黑体" w:cs="宋体"/>
      <w:color w:val="000000"/>
      <w:kern w:val="0"/>
      <w:sz w:val="24"/>
      <w:szCs w:val="24"/>
    </w:rPr>
  </w:style>
  <w:style w:type="paragraph" w:customStyle="1" w:styleId="20">
    <w:name w:val="font12"/>
    <w:basedOn w:val="1"/>
    <w:qFormat/>
    <w:uiPriority w:val="0"/>
    <w:pPr>
      <w:widowControl/>
      <w:spacing w:before="100" w:beforeAutospacing="1" w:after="100" w:afterAutospacing="1"/>
      <w:jc w:val="left"/>
    </w:pPr>
    <w:rPr>
      <w:rFonts w:ascii="楷体_GB2312" w:hAnsi="宋体" w:eastAsia="楷体_GB2312" w:cs="宋体"/>
      <w:color w:val="000000"/>
      <w:kern w:val="0"/>
      <w:sz w:val="22"/>
    </w:rPr>
  </w:style>
  <w:style w:type="paragraph" w:customStyle="1" w:styleId="21">
    <w:name w:val="font13"/>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22">
    <w:name w:val="font14"/>
    <w:basedOn w:val="1"/>
    <w:qFormat/>
    <w:uiPriority w:val="0"/>
    <w:pPr>
      <w:widowControl/>
      <w:spacing w:before="100" w:beforeAutospacing="1" w:after="100" w:afterAutospacing="1"/>
      <w:jc w:val="left"/>
    </w:pPr>
    <w:rPr>
      <w:rFonts w:ascii="黑体" w:hAnsi="黑体" w:eastAsia="黑体" w:cs="宋体"/>
      <w:color w:val="000000"/>
      <w:kern w:val="0"/>
      <w:sz w:val="22"/>
    </w:rPr>
  </w:style>
  <w:style w:type="paragraph" w:customStyle="1" w:styleId="2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sz w:val="24"/>
      <w:szCs w:val="24"/>
    </w:rPr>
  </w:style>
  <w:style w:type="paragraph" w:customStyle="1" w:styleId="24">
    <w:name w:val="xl68"/>
    <w:basedOn w:val="1"/>
    <w:qFormat/>
    <w:uiPriority w:val="0"/>
    <w:pPr>
      <w:widowControl/>
      <w:shd w:val="clear" w:color="000000" w:fill="92D050"/>
      <w:spacing w:before="100" w:beforeAutospacing="1" w:after="100" w:afterAutospacing="1"/>
      <w:jc w:val="left"/>
    </w:pPr>
    <w:rPr>
      <w:rFonts w:ascii="宋体" w:hAnsi="宋体" w:eastAsia="宋体" w:cs="宋体"/>
      <w:kern w:val="0"/>
      <w:sz w:val="24"/>
      <w:szCs w:val="24"/>
    </w:rPr>
  </w:style>
  <w:style w:type="paragraph" w:customStyle="1" w:styleId="2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2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27">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Times New Roman" w:hAnsi="Times New Roman" w:eastAsia="宋体" w:cs="Times New Roman"/>
      <w:color w:val="000000"/>
      <w:kern w:val="0"/>
      <w:sz w:val="24"/>
      <w:szCs w:val="24"/>
    </w:rPr>
  </w:style>
  <w:style w:type="paragraph" w:customStyle="1" w:styleId="28">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29">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pPr>
    <w:rPr>
      <w:rFonts w:ascii="Times New Roman" w:hAnsi="Times New Roman" w:eastAsia="宋体" w:cs="Times New Roman"/>
      <w:color w:val="000000"/>
      <w:kern w:val="0"/>
      <w:sz w:val="24"/>
      <w:szCs w:val="24"/>
    </w:rPr>
  </w:style>
  <w:style w:type="paragraph" w:customStyle="1" w:styleId="30">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3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宋体" w:cs="Times New Roman"/>
      <w:color w:val="000000"/>
      <w:kern w:val="0"/>
      <w:sz w:val="24"/>
      <w:szCs w:val="24"/>
    </w:rPr>
  </w:style>
  <w:style w:type="paragraph" w:customStyle="1" w:styleId="3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color w:val="000000"/>
      <w:kern w:val="0"/>
      <w:sz w:val="24"/>
      <w:szCs w:val="24"/>
    </w:rPr>
  </w:style>
  <w:style w:type="paragraph" w:customStyle="1" w:styleId="3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FF0000"/>
      <w:kern w:val="0"/>
      <w:sz w:val="24"/>
      <w:szCs w:val="24"/>
    </w:rPr>
  </w:style>
  <w:style w:type="paragraph" w:customStyle="1" w:styleId="3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宋体" w:cs="Times New Roman"/>
      <w:color w:val="FF0000"/>
      <w:kern w:val="0"/>
      <w:sz w:val="24"/>
      <w:szCs w:val="24"/>
    </w:rPr>
  </w:style>
  <w:style w:type="paragraph" w:customStyle="1" w:styleId="35">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pPr>
    <w:rPr>
      <w:rFonts w:ascii="宋体" w:hAnsi="宋体" w:eastAsia="宋体" w:cs="宋体"/>
      <w:color w:val="000000"/>
      <w:kern w:val="0"/>
      <w:sz w:val="24"/>
      <w:szCs w:val="24"/>
    </w:rPr>
  </w:style>
  <w:style w:type="paragraph" w:customStyle="1" w:styleId="3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宋体" w:cs="Times New Roman"/>
      <w:color w:val="FF0000"/>
      <w:kern w:val="0"/>
      <w:sz w:val="24"/>
      <w:szCs w:val="24"/>
    </w:rPr>
  </w:style>
  <w:style w:type="paragraph" w:customStyle="1" w:styleId="37">
    <w:name w:val="xl81"/>
    <w:basedOn w:val="1"/>
    <w:qFormat/>
    <w:uiPriority w:val="0"/>
    <w:pPr>
      <w:widowControl/>
      <w:shd w:val="clear" w:color="000000" w:fill="92D050"/>
      <w:spacing w:before="100" w:beforeAutospacing="1" w:after="100" w:afterAutospacing="1"/>
      <w:jc w:val="left"/>
    </w:pPr>
    <w:rPr>
      <w:rFonts w:ascii="宋体" w:hAnsi="宋体" w:eastAsia="宋体" w:cs="宋体"/>
      <w:kern w:val="0"/>
      <w:sz w:val="24"/>
      <w:szCs w:val="24"/>
    </w:rPr>
  </w:style>
  <w:style w:type="paragraph" w:customStyle="1" w:styleId="3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宋体" w:cs="Times New Roman"/>
      <w:color w:val="000000"/>
      <w:kern w:val="0"/>
      <w:sz w:val="24"/>
      <w:szCs w:val="24"/>
    </w:rPr>
  </w:style>
  <w:style w:type="paragraph" w:customStyle="1" w:styleId="4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宋体" w:hAnsi="宋体" w:eastAsia="宋体" w:cs="宋体"/>
      <w:color w:val="000000"/>
      <w:kern w:val="0"/>
      <w:sz w:val="24"/>
      <w:szCs w:val="24"/>
    </w:rPr>
  </w:style>
  <w:style w:type="paragraph" w:customStyle="1" w:styleId="4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宋体" w:hAnsi="宋体" w:eastAsia="宋体" w:cs="宋体"/>
      <w:color w:val="000000"/>
      <w:kern w:val="0"/>
      <w:sz w:val="24"/>
      <w:szCs w:val="24"/>
    </w:rPr>
  </w:style>
  <w:style w:type="paragraph" w:customStyle="1" w:styleId="42">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4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44">
    <w:name w:val="xl88"/>
    <w:basedOn w:val="1"/>
    <w:qFormat/>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45">
    <w:name w:val="xl90"/>
    <w:basedOn w:val="1"/>
    <w:qFormat/>
    <w:uiPriority w:val="0"/>
    <w:pPr>
      <w:widowControl/>
      <w:spacing w:before="100" w:beforeAutospacing="1" w:after="100" w:afterAutospacing="1"/>
    </w:pPr>
    <w:rPr>
      <w:rFonts w:ascii="楷体_GB2312" w:hAnsi="宋体" w:eastAsia="楷体_GB2312" w:cs="宋体"/>
      <w:color w:val="000000"/>
      <w:kern w:val="0"/>
      <w:sz w:val="24"/>
      <w:szCs w:val="24"/>
    </w:rPr>
  </w:style>
  <w:style w:type="paragraph" w:customStyle="1" w:styleId="4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24"/>
      <w:szCs w:val="24"/>
    </w:rPr>
  </w:style>
  <w:style w:type="paragraph" w:customStyle="1" w:styleId="4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24"/>
      <w:szCs w:val="24"/>
    </w:rPr>
  </w:style>
  <w:style w:type="paragraph" w:customStyle="1" w:styleId="4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49">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50">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51">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right"/>
    </w:pPr>
    <w:rPr>
      <w:rFonts w:ascii="Times New Roman" w:hAnsi="Times New Roman" w:eastAsia="宋体" w:cs="Times New Roman"/>
      <w:color w:val="FF0000"/>
      <w:kern w:val="0"/>
      <w:sz w:val="24"/>
      <w:szCs w:val="24"/>
    </w:rPr>
  </w:style>
  <w:style w:type="paragraph" w:customStyle="1" w:styleId="5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宋体" w:cs="Times New Roman"/>
      <w:color w:val="FF0000"/>
      <w:kern w:val="0"/>
      <w:sz w:val="24"/>
      <w:szCs w:val="24"/>
    </w:rPr>
  </w:style>
  <w:style w:type="paragraph" w:customStyle="1" w:styleId="5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宋体" w:cs="Times New Roman"/>
      <w:color w:val="FF0000"/>
      <w:kern w:val="0"/>
      <w:sz w:val="24"/>
      <w:szCs w:val="24"/>
    </w:rPr>
  </w:style>
  <w:style w:type="paragraph" w:customStyle="1" w:styleId="54">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right"/>
    </w:pPr>
    <w:rPr>
      <w:rFonts w:ascii="Times New Roman" w:hAnsi="Times New Roman" w:eastAsia="宋体" w:cs="Times New Roman"/>
      <w:color w:val="FF0000"/>
      <w:kern w:val="0"/>
      <w:sz w:val="24"/>
      <w:szCs w:val="24"/>
    </w:rPr>
  </w:style>
  <w:style w:type="paragraph" w:customStyle="1" w:styleId="55">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kern w:val="0"/>
      <w:sz w:val="24"/>
      <w:szCs w:val="24"/>
    </w:rPr>
  </w:style>
  <w:style w:type="paragraph" w:customStyle="1" w:styleId="56">
    <w:name w:val="xl101"/>
    <w:basedOn w:val="1"/>
    <w:qFormat/>
    <w:uiPriority w:val="0"/>
    <w:pPr>
      <w:widowControl/>
      <w:spacing w:before="100" w:beforeAutospacing="1" w:after="100" w:afterAutospacing="1"/>
    </w:pPr>
    <w:rPr>
      <w:rFonts w:ascii="Times New Roman" w:hAnsi="Times New Roman" w:eastAsia="宋体" w:cs="Times New Roman"/>
      <w:color w:val="000000"/>
      <w:kern w:val="0"/>
      <w:szCs w:val="21"/>
    </w:rPr>
  </w:style>
  <w:style w:type="paragraph" w:customStyle="1" w:styleId="57">
    <w:name w:val="xl102"/>
    <w:basedOn w:val="1"/>
    <w:qFormat/>
    <w:uiPriority w:val="0"/>
    <w:pPr>
      <w:widowControl/>
      <w:spacing w:before="100" w:beforeAutospacing="1" w:after="100" w:afterAutospacing="1"/>
      <w:jc w:val="left"/>
    </w:pPr>
    <w:rPr>
      <w:rFonts w:ascii="楷体_GB2312" w:hAnsi="宋体" w:eastAsia="楷体_GB2312" w:cs="宋体"/>
      <w:color w:val="000000"/>
      <w:kern w:val="0"/>
      <w:sz w:val="24"/>
      <w:szCs w:val="24"/>
    </w:rPr>
  </w:style>
  <w:style w:type="paragraph" w:customStyle="1" w:styleId="58">
    <w:name w:val="xl103"/>
    <w:basedOn w:val="1"/>
    <w:qFormat/>
    <w:uiPriority w:val="0"/>
    <w:pPr>
      <w:widowControl/>
      <w:spacing w:before="100" w:beforeAutospacing="1" w:after="100" w:afterAutospacing="1"/>
      <w:ind w:firstLine="200" w:firstLineChars="200"/>
      <w:jc w:val="left"/>
    </w:pPr>
    <w:rPr>
      <w:rFonts w:ascii="Times New Roman" w:hAnsi="Times New Roman" w:eastAsia="宋体" w:cs="Times New Roman"/>
      <w:color w:val="000000"/>
      <w:kern w:val="0"/>
      <w:sz w:val="24"/>
      <w:szCs w:val="24"/>
    </w:rPr>
  </w:style>
  <w:style w:type="paragraph" w:customStyle="1" w:styleId="59">
    <w:name w:val="xl104"/>
    <w:basedOn w:val="1"/>
    <w:qFormat/>
    <w:uiPriority w:val="0"/>
    <w:pPr>
      <w:widowControl/>
      <w:spacing w:before="100" w:beforeAutospacing="1" w:after="100" w:afterAutospacing="1"/>
      <w:ind w:firstLine="200" w:firstLineChars="200"/>
      <w:jc w:val="left"/>
    </w:pPr>
    <w:rPr>
      <w:rFonts w:ascii="Times New Roman" w:hAnsi="Times New Roman" w:eastAsia="宋体" w:cs="Times New Roman"/>
      <w:color w:val="000000"/>
      <w:kern w:val="0"/>
      <w:sz w:val="24"/>
      <w:szCs w:val="24"/>
    </w:rPr>
  </w:style>
  <w:style w:type="paragraph" w:customStyle="1" w:styleId="60">
    <w:name w:val="xl105"/>
    <w:basedOn w:val="1"/>
    <w:qFormat/>
    <w:uiPriority w:val="0"/>
    <w:pPr>
      <w:widowControl/>
      <w:spacing w:before="100" w:beforeAutospacing="1" w:after="100" w:afterAutospacing="1"/>
      <w:ind w:firstLine="200" w:firstLineChars="200"/>
      <w:jc w:val="left"/>
    </w:pPr>
    <w:rPr>
      <w:rFonts w:ascii="Times New Roman" w:hAnsi="Times New Roman" w:eastAsia="宋体" w:cs="Times New Roman"/>
      <w:color w:val="000000"/>
      <w:kern w:val="0"/>
      <w:sz w:val="24"/>
      <w:szCs w:val="24"/>
    </w:rPr>
  </w:style>
  <w:style w:type="paragraph" w:customStyle="1" w:styleId="61">
    <w:name w:val="xl106"/>
    <w:basedOn w:val="1"/>
    <w:qFormat/>
    <w:uiPriority w:val="0"/>
    <w:pPr>
      <w:widowControl/>
      <w:spacing w:before="100" w:beforeAutospacing="1" w:after="100" w:afterAutospacing="1"/>
      <w:ind w:firstLine="200" w:firstLineChars="200"/>
      <w:jc w:val="left"/>
    </w:pPr>
    <w:rPr>
      <w:rFonts w:ascii="楷体_GB2312" w:hAnsi="宋体" w:eastAsia="楷体_GB2312" w:cs="宋体"/>
      <w:color w:val="000000"/>
      <w:kern w:val="0"/>
      <w:sz w:val="24"/>
      <w:szCs w:val="24"/>
    </w:rPr>
  </w:style>
  <w:style w:type="paragraph" w:customStyle="1" w:styleId="62">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24"/>
      <w:szCs w:val="24"/>
    </w:rPr>
  </w:style>
  <w:style w:type="paragraph" w:customStyle="1" w:styleId="63">
    <w:name w:val="xl108"/>
    <w:basedOn w:val="1"/>
    <w:qFormat/>
    <w:uiPriority w:val="0"/>
    <w:pPr>
      <w:widowControl/>
      <w:spacing w:before="100" w:beforeAutospacing="1" w:after="100" w:afterAutospacing="1"/>
      <w:jc w:val="center"/>
    </w:pPr>
    <w:rPr>
      <w:rFonts w:ascii="方正小标宋简体" w:hAnsi="宋体" w:eastAsia="方正小标宋简体" w:cs="宋体"/>
      <w:color w:val="000000"/>
      <w:kern w:val="0"/>
      <w:sz w:val="44"/>
      <w:szCs w:val="44"/>
    </w:rPr>
  </w:style>
  <w:style w:type="paragraph" w:customStyle="1" w:styleId="64">
    <w:name w:val="xl109"/>
    <w:basedOn w:val="1"/>
    <w:qFormat/>
    <w:uiPriority w:val="0"/>
    <w:pPr>
      <w:widowControl/>
      <w:spacing w:before="100" w:beforeAutospacing="1" w:after="100" w:afterAutospacing="1"/>
      <w:jc w:val="center"/>
    </w:pPr>
    <w:rPr>
      <w:rFonts w:ascii="方正小标宋简体" w:hAnsi="宋体" w:eastAsia="方正小标宋简体" w:cs="宋体"/>
      <w:color w:val="000000"/>
      <w:kern w:val="0"/>
      <w:sz w:val="44"/>
      <w:szCs w:val="44"/>
    </w:rPr>
  </w:style>
  <w:style w:type="paragraph" w:customStyle="1" w:styleId="65">
    <w:name w:val="xl110"/>
    <w:basedOn w:val="1"/>
    <w:qFormat/>
    <w:uiPriority w:val="0"/>
    <w:pPr>
      <w:widowControl/>
      <w:spacing w:before="100" w:beforeAutospacing="1" w:after="100" w:afterAutospacing="1"/>
      <w:jc w:val="center"/>
    </w:pPr>
    <w:rPr>
      <w:rFonts w:ascii="方正小标宋简体" w:hAnsi="宋体" w:eastAsia="方正小标宋简体" w:cs="宋体"/>
      <w:color w:val="000000"/>
      <w:kern w:val="0"/>
      <w:sz w:val="44"/>
      <w:szCs w:val="44"/>
    </w:rPr>
  </w:style>
  <w:style w:type="character" w:customStyle="1" w:styleId="66">
    <w:name w:val="页眉 字符"/>
    <w:basedOn w:val="9"/>
    <w:link w:val="6"/>
    <w:qFormat/>
    <w:uiPriority w:val="99"/>
    <w:rPr>
      <w:sz w:val="18"/>
      <w:szCs w:val="18"/>
    </w:rPr>
  </w:style>
  <w:style w:type="character" w:customStyle="1" w:styleId="67">
    <w:name w:val="页脚 字符"/>
    <w:basedOn w:val="9"/>
    <w:link w:val="5"/>
    <w:qFormat/>
    <w:uiPriority w:val="99"/>
    <w:rPr>
      <w:sz w:val="18"/>
      <w:szCs w:val="18"/>
    </w:rPr>
  </w:style>
  <w:style w:type="paragraph" w:customStyle="1" w:styleId="68">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character" w:customStyle="1" w:styleId="69">
    <w:name w:val="font01"/>
    <w:basedOn w:val="9"/>
    <w:qFormat/>
    <w:uiPriority w:val="0"/>
    <w:rPr>
      <w:rFonts w:hint="eastAsia" w:ascii="宋体" w:hAnsi="宋体" w:eastAsia="宋体" w:cs="宋体"/>
      <w:color w:val="000000"/>
      <w:sz w:val="20"/>
      <w:szCs w:val="20"/>
      <w:u w:val="none"/>
    </w:rPr>
  </w:style>
  <w:style w:type="character" w:customStyle="1" w:styleId="70">
    <w:name w:val="标题 3 字符"/>
    <w:basedOn w:val="9"/>
    <w:link w:val="2"/>
    <w:qFormat/>
    <w:uiPriority w:val="9"/>
    <w:rPr>
      <w:b/>
      <w:color w:val="000000"/>
      <w:sz w:val="32"/>
      <w:szCs w:val="24"/>
    </w:rPr>
  </w:style>
  <w:style w:type="character" w:customStyle="1" w:styleId="71">
    <w:name w:val="正文文本缩进 字符"/>
    <w:link w:val="4"/>
    <w:qFormat/>
    <w:uiPriority w:val="99"/>
    <w:rPr>
      <w:rFonts w:ascii="仿宋_GB2312" w:hAnsi="仿宋_GB2312" w:eastAsia="仿宋_GB2312"/>
      <w:color w:val="000000"/>
      <w:kern w:val="1"/>
      <w:sz w:val="32"/>
      <w:szCs w:val="32"/>
    </w:rPr>
  </w:style>
  <w:style w:type="character" w:customStyle="1" w:styleId="72">
    <w:name w:val="正文文本缩进 字符1"/>
    <w:basedOn w:val="9"/>
    <w:semiHidden/>
    <w:qFormat/>
    <w:uiPriority w:val="99"/>
    <w:rPr>
      <w:rFonts w:asciiTheme="minorHAnsi" w:hAnsiTheme="minorHAnsi" w:eastAsiaTheme="minorEastAsia" w:cstheme="minorBidi"/>
      <w:kern w:val="2"/>
      <w:sz w:val="21"/>
      <w:szCs w:val="22"/>
    </w:rPr>
  </w:style>
  <w:style w:type="character" w:customStyle="1" w:styleId="73">
    <w:name w:val="批注文字 字符"/>
    <w:basedOn w:val="9"/>
    <w:link w:val="3"/>
    <w:qFormat/>
    <w:uiPriority w:val="0"/>
    <w:rPr>
      <w:color w:val="000000"/>
      <w:sz w:val="21"/>
      <w:szCs w:val="24"/>
    </w:rPr>
  </w:style>
  <w:style w:type="paragraph" w:customStyle="1" w:styleId="74">
    <w:name w:val="xl66"/>
    <w:basedOn w:val="1"/>
    <w:qFormat/>
    <w:uiPriority w:val="0"/>
    <w:pPr>
      <w:widowControl/>
      <w:spacing w:before="100" w:beforeAutospacing="1" w:after="100" w:afterAutospacing="1"/>
    </w:pPr>
    <w:rPr>
      <w:rFonts w:ascii="楷体_GB2312" w:hAnsi="宋体" w:eastAsia="楷体_GB2312" w:cs="宋体"/>
      <w:color w:val="000000"/>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85</Pages>
  <Words>25721</Words>
  <Characters>42910</Characters>
  <Lines>418</Lines>
  <Paragraphs>117</Paragraphs>
  <TotalTime>1</TotalTime>
  <ScaleCrop>false</ScaleCrop>
  <LinksUpToDate>false</LinksUpToDate>
  <CharactersWithSpaces>47955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2023-01-13T17:05:00Z</dcterms:created>
  <dc:creator>Administrator</dc:creator>
  <cp:lastModifiedBy>Root</cp:lastModifiedBy>
  <dcterms:modified xsi:type="dcterms:W3CDTF">2023-11-27T00:45:03Z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D83AA2D0BDA149C6AC6763B5F196E5B6</vt:lpwstr>
  </property>
</Properties>
</file>