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EB04" w14:textId="77777777" w:rsidR="00313A6C" w:rsidRDefault="00000000">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14:paraId="3325B36C" w14:textId="77777777" w:rsidR="00313A6C" w:rsidRDefault="00313A6C">
      <w:pPr>
        <w:spacing w:line="560" w:lineRule="exact"/>
        <w:rPr>
          <w:rFonts w:ascii="仿宋_GB2312" w:eastAsia="仿宋_GB2312" w:hAnsi="仿宋_GB2312" w:cs="仿宋_GB2312"/>
          <w:bCs/>
          <w:spacing w:val="15"/>
          <w:sz w:val="32"/>
          <w:szCs w:val="32"/>
        </w:rPr>
      </w:pPr>
    </w:p>
    <w:p w14:paraId="48610E33" w14:textId="77777777" w:rsidR="00313A6C" w:rsidRDefault="00313A6C">
      <w:pPr>
        <w:spacing w:line="560" w:lineRule="exact"/>
        <w:jc w:val="center"/>
        <w:rPr>
          <w:rFonts w:ascii="方正小标宋简体" w:eastAsia="方正小标宋简体" w:hAnsi="方正小标宋简体" w:cs="方正小标宋简体"/>
          <w:b/>
          <w:spacing w:val="15"/>
          <w:sz w:val="44"/>
          <w:szCs w:val="44"/>
        </w:rPr>
      </w:pPr>
    </w:p>
    <w:p w14:paraId="4E6A9DCF" w14:textId="77777777" w:rsidR="00313A6C" w:rsidRDefault="00313A6C">
      <w:pPr>
        <w:spacing w:line="560" w:lineRule="exact"/>
        <w:jc w:val="center"/>
        <w:rPr>
          <w:rFonts w:ascii="方正小标宋简体" w:eastAsia="方正小标宋简体" w:hAnsi="方正小标宋简体" w:cs="方正小标宋简体"/>
          <w:b/>
          <w:spacing w:val="15"/>
          <w:sz w:val="44"/>
          <w:szCs w:val="44"/>
        </w:rPr>
      </w:pPr>
    </w:p>
    <w:p w14:paraId="6B34DB86" w14:textId="77777777" w:rsidR="00313A6C" w:rsidRDefault="00313A6C">
      <w:pPr>
        <w:spacing w:line="560" w:lineRule="exact"/>
        <w:jc w:val="center"/>
        <w:rPr>
          <w:rFonts w:ascii="方正小标宋简体" w:eastAsia="方正小标宋简体" w:hAnsi="方正小标宋简体" w:cs="方正小标宋简体"/>
          <w:b/>
          <w:spacing w:val="15"/>
          <w:sz w:val="44"/>
          <w:szCs w:val="44"/>
        </w:rPr>
      </w:pPr>
    </w:p>
    <w:p w14:paraId="65D68EE6" w14:textId="77777777" w:rsidR="00313A6C" w:rsidRDefault="00313A6C">
      <w:pPr>
        <w:spacing w:line="560" w:lineRule="exact"/>
        <w:jc w:val="center"/>
        <w:rPr>
          <w:rFonts w:ascii="方正小标宋简体" w:eastAsia="方正小标宋简体" w:hAnsi="方正小标宋简体" w:cs="方正小标宋简体"/>
          <w:b/>
          <w:spacing w:val="15"/>
          <w:sz w:val="44"/>
          <w:szCs w:val="44"/>
        </w:rPr>
      </w:pPr>
    </w:p>
    <w:p w14:paraId="73350B0F" w14:textId="77777777" w:rsidR="00313A6C" w:rsidRDefault="00313A6C">
      <w:pPr>
        <w:spacing w:line="560" w:lineRule="exact"/>
        <w:jc w:val="center"/>
        <w:rPr>
          <w:rFonts w:ascii="方正小标宋简体" w:eastAsia="方正小标宋简体" w:hAnsi="方正小标宋简体" w:cs="方正小标宋简体"/>
          <w:b/>
          <w:spacing w:val="15"/>
          <w:sz w:val="44"/>
          <w:szCs w:val="44"/>
        </w:rPr>
      </w:pPr>
    </w:p>
    <w:p w14:paraId="54F621CE" w14:textId="77777777" w:rsidR="00313A6C" w:rsidRDefault="00000000">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兰溪市信访局2022年部门预算</w:t>
      </w:r>
    </w:p>
    <w:p w14:paraId="017BB049"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012688D6"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3E5C2294"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6FA76CE0"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0508CE8E"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3DE8D6C2"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28839AA8" w14:textId="77777777" w:rsidR="00313A6C" w:rsidRDefault="00313A6C">
      <w:pPr>
        <w:pStyle w:val="Default"/>
        <w:rPr>
          <w:rFonts w:ascii="方正小标宋简体" w:eastAsia="方正小标宋简体" w:hAnsi="方正小标宋简体" w:cs="方正小标宋简体" w:hint="default"/>
          <w:b/>
          <w:spacing w:val="15"/>
          <w:sz w:val="44"/>
          <w:szCs w:val="44"/>
        </w:rPr>
      </w:pPr>
    </w:p>
    <w:p w14:paraId="5BD0F220" w14:textId="77777777" w:rsidR="00313A6C" w:rsidRDefault="00313A6C">
      <w:pPr>
        <w:overflowPunct/>
        <w:autoSpaceDE/>
        <w:autoSpaceDN/>
        <w:adjustRightInd/>
        <w:spacing w:line="560" w:lineRule="exact"/>
        <w:textAlignment w:val="auto"/>
        <w:rPr>
          <w:rStyle w:val="a5"/>
          <w:rFonts w:ascii="仿宋_GB2312" w:eastAsia="仿宋_GB2312" w:hAnsi="仿宋_GB2312" w:cs="仿宋_GB2312"/>
          <w:color w:val="000000"/>
          <w:sz w:val="32"/>
          <w:szCs w:val="32"/>
        </w:rPr>
      </w:pPr>
    </w:p>
    <w:p w14:paraId="79E5A052" w14:textId="77777777" w:rsidR="00313A6C" w:rsidRDefault="00313A6C">
      <w:pPr>
        <w:overflowPunct/>
        <w:autoSpaceDE/>
        <w:autoSpaceDN/>
        <w:adjustRightInd/>
        <w:spacing w:line="560" w:lineRule="exact"/>
        <w:textAlignment w:val="auto"/>
        <w:rPr>
          <w:rStyle w:val="a5"/>
          <w:rFonts w:ascii="黑体" w:eastAsia="黑体" w:hAnsi="黑体" w:cs="黑体"/>
          <w:bCs w:val="0"/>
          <w:color w:val="000000"/>
          <w:sz w:val="32"/>
          <w:szCs w:val="32"/>
        </w:rPr>
      </w:pPr>
    </w:p>
    <w:p w14:paraId="79445CCD" w14:textId="77777777" w:rsidR="00313A6C" w:rsidRDefault="00313A6C">
      <w:pPr>
        <w:overflowPunct/>
        <w:autoSpaceDE/>
        <w:autoSpaceDN/>
        <w:adjustRightInd/>
        <w:spacing w:line="560" w:lineRule="exact"/>
        <w:textAlignment w:val="auto"/>
        <w:rPr>
          <w:rStyle w:val="a5"/>
          <w:rFonts w:ascii="黑体" w:eastAsia="黑体" w:hAnsi="黑体" w:cs="黑体"/>
          <w:bCs w:val="0"/>
          <w:color w:val="000000"/>
          <w:sz w:val="32"/>
          <w:szCs w:val="32"/>
        </w:rPr>
      </w:pPr>
    </w:p>
    <w:p w14:paraId="4EA91DC8" w14:textId="77777777" w:rsidR="00313A6C" w:rsidRDefault="00313A6C">
      <w:pPr>
        <w:overflowPunct/>
        <w:autoSpaceDE/>
        <w:autoSpaceDN/>
        <w:adjustRightInd/>
        <w:spacing w:line="520" w:lineRule="exact"/>
        <w:ind w:firstLineChars="196" w:firstLine="627"/>
        <w:jc w:val="center"/>
        <w:textAlignment w:val="auto"/>
        <w:rPr>
          <w:rStyle w:val="a5"/>
          <w:rFonts w:ascii="黑体" w:eastAsia="黑体"/>
          <w:b w:val="0"/>
          <w:color w:val="000000"/>
          <w:sz w:val="32"/>
          <w:szCs w:val="32"/>
        </w:rPr>
      </w:pPr>
    </w:p>
    <w:p w14:paraId="48E85E7E" w14:textId="77777777" w:rsidR="00313A6C" w:rsidRDefault="00313A6C">
      <w:pPr>
        <w:overflowPunct/>
        <w:autoSpaceDE/>
        <w:autoSpaceDN/>
        <w:adjustRightInd/>
        <w:spacing w:line="520" w:lineRule="exact"/>
        <w:ind w:firstLineChars="196" w:firstLine="627"/>
        <w:jc w:val="center"/>
        <w:textAlignment w:val="auto"/>
        <w:rPr>
          <w:rStyle w:val="a5"/>
          <w:rFonts w:ascii="黑体" w:eastAsia="黑体"/>
          <w:b w:val="0"/>
          <w:color w:val="000000"/>
          <w:sz w:val="32"/>
          <w:szCs w:val="32"/>
        </w:rPr>
        <w:sectPr w:rsidR="00313A6C">
          <w:footerReference w:type="even" r:id="rId7"/>
          <w:footerReference w:type="default" r:id="rId8"/>
          <w:pgSz w:w="11906" w:h="16838"/>
          <w:pgMar w:top="1701" w:right="1587" w:bottom="1701" w:left="1587" w:header="851" w:footer="1077" w:gutter="0"/>
          <w:pgNumType w:fmt="numberInDash"/>
          <w:cols w:space="720"/>
          <w:docGrid w:type="lines" w:linePitch="312"/>
        </w:sectPr>
      </w:pPr>
    </w:p>
    <w:p w14:paraId="157DE3A3" w14:textId="77777777" w:rsidR="00313A6C" w:rsidRDefault="00000000">
      <w:pPr>
        <w:overflowPunct/>
        <w:autoSpaceDE/>
        <w:autoSpaceDN/>
        <w:adjustRightInd/>
        <w:spacing w:line="520" w:lineRule="exact"/>
        <w:ind w:firstLineChars="196" w:firstLine="627"/>
        <w:jc w:val="center"/>
        <w:textAlignment w:val="auto"/>
        <w:rPr>
          <w:rStyle w:val="a5"/>
          <w:rFonts w:ascii="黑体" w:eastAsia="黑体"/>
          <w:b w:val="0"/>
          <w:color w:val="000000"/>
          <w:sz w:val="32"/>
          <w:szCs w:val="32"/>
        </w:rPr>
      </w:pPr>
      <w:r>
        <w:rPr>
          <w:rStyle w:val="a5"/>
          <w:rFonts w:ascii="黑体" w:eastAsia="黑体" w:hint="eastAsia"/>
          <w:b w:val="0"/>
          <w:color w:val="000000"/>
          <w:sz w:val="32"/>
          <w:szCs w:val="32"/>
        </w:rPr>
        <w:lastRenderedPageBreak/>
        <w:t>目录</w:t>
      </w:r>
    </w:p>
    <w:p w14:paraId="1992B238" w14:textId="77777777" w:rsidR="00313A6C" w:rsidRDefault="00000000">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5"/>
          <w:rFonts w:ascii="黑体" w:eastAsia="黑体" w:hint="eastAsia"/>
          <w:b w:val="0"/>
          <w:color w:val="000000"/>
          <w:sz w:val="32"/>
          <w:szCs w:val="32"/>
        </w:rPr>
        <w:t>部门概况</w:t>
      </w:r>
    </w:p>
    <w:p w14:paraId="2BCBC531"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4358C124"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（二）部门机构设置情况</w:t>
      </w:r>
    </w:p>
    <w:p w14:paraId="3EF661D6" w14:textId="77777777" w:rsidR="00313A6C" w:rsidRDefault="00000000">
      <w:pPr>
        <w:overflowPunct/>
        <w:autoSpaceDE/>
        <w:autoSpaceDN/>
        <w:adjustRightInd/>
        <w:spacing w:line="520" w:lineRule="exact"/>
        <w:textAlignment w:val="auto"/>
        <w:rPr>
          <w:rStyle w:val="a5"/>
          <w:rFonts w:ascii="黑体" w:eastAsia="黑体"/>
          <w:b w:val="0"/>
          <w:color w:val="000000"/>
          <w:sz w:val="32"/>
          <w:szCs w:val="32"/>
        </w:rPr>
      </w:pPr>
      <w:r>
        <w:rPr>
          <w:rStyle w:val="a5"/>
          <w:rFonts w:ascii="黑体" w:eastAsia="黑体" w:hint="eastAsia"/>
          <w:b w:val="0"/>
          <w:color w:val="000000"/>
          <w:sz w:val="32"/>
          <w:szCs w:val="32"/>
        </w:rPr>
        <w:t>二、2022年兰溪市信访局部门预算安排情况说明</w:t>
      </w:r>
    </w:p>
    <w:p w14:paraId="0D142DD4"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（一）关于兰溪市信访局2022年收支预算情况的总体说明</w:t>
      </w:r>
    </w:p>
    <w:p w14:paraId="5A2EE4BF"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（二）关于兰溪市信访局2022年收入预算情况说明</w:t>
      </w:r>
    </w:p>
    <w:p w14:paraId="540A5F35"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（三）关于兰溪市信访局2022年支出预算情况说明</w:t>
      </w:r>
      <w:r>
        <w:rPr>
          <w:rFonts w:ascii="楷体_GB2312" w:eastAsia="楷体_GB2312" w:hAnsi="楷体_GB2312" w:cs="楷体_GB2312" w:hint="eastAsia"/>
          <w:bCs/>
          <w:sz w:val="32"/>
          <w:szCs w:val="32"/>
        </w:rPr>
        <w:br/>
        <w:t>（四）关于兰溪市信访局2022年财政拨款收支预算情况的总体说明</w:t>
      </w:r>
    </w:p>
    <w:p w14:paraId="2CF35CB5"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（五）关于兰溪市信访局2022年一般公共预算当年拨款情况说明</w:t>
      </w:r>
    </w:p>
    <w:p w14:paraId="0F38472D"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（六）关于兰溪市信访局2022年一般公共预算基本支出情况说明</w:t>
      </w:r>
    </w:p>
    <w:p w14:paraId="7D0F3E65"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（七）关于兰溪市信访局2022年政府性基金预算支出情况说明</w:t>
      </w:r>
    </w:p>
    <w:p w14:paraId="4CD9999C"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（八）关于兰溪市信访局2022年国有资本经营预算支出情况说明</w:t>
      </w:r>
    </w:p>
    <w:p w14:paraId="52E6C552"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（九）关于兰溪市信访局2022年一般公共预算“三公”经费预算情况说明</w:t>
      </w:r>
    </w:p>
    <w:p w14:paraId="7A2CB7D9"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2095F09A" w14:textId="77777777" w:rsidR="00313A6C" w:rsidRDefault="00000000">
      <w:pPr>
        <w:pStyle w:val="p0"/>
        <w:overflowPunct/>
        <w:autoSpaceDE/>
        <w:autoSpaceDN/>
        <w:adjustRightInd/>
        <w:spacing w:line="520" w:lineRule="exact"/>
        <w:textAlignment w:val="auto"/>
        <w:rPr>
          <w:rStyle w:val="a5"/>
          <w:rFonts w:ascii="黑体" w:eastAsia="黑体"/>
          <w:b w:val="0"/>
          <w:color w:val="000000"/>
          <w:kern w:val="2"/>
          <w:sz w:val="32"/>
          <w:szCs w:val="32"/>
        </w:rPr>
      </w:pPr>
      <w:r>
        <w:rPr>
          <w:rStyle w:val="a5"/>
          <w:rFonts w:ascii="黑体" w:eastAsia="黑体" w:hint="eastAsia"/>
          <w:b w:val="0"/>
          <w:color w:val="000000"/>
          <w:kern w:val="2"/>
          <w:sz w:val="32"/>
          <w:szCs w:val="32"/>
        </w:rPr>
        <w:t>三、名词解释</w:t>
      </w:r>
    </w:p>
    <w:p w14:paraId="333C05A9" w14:textId="77777777" w:rsidR="00313A6C" w:rsidRDefault="00000000">
      <w:pPr>
        <w:overflowPunct/>
        <w:autoSpaceDE/>
        <w:autoSpaceDN/>
        <w:adjustRightInd/>
        <w:spacing w:line="520" w:lineRule="exact"/>
        <w:textAlignment w:val="auto"/>
        <w:rPr>
          <w:rStyle w:val="a5"/>
          <w:rFonts w:ascii="黑体" w:eastAsia="黑体"/>
          <w:b w:val="0"/>
          <w:color w:val="000000"/>
          <w:sz w:val="32"/>
          <w:szCs w:val="32"/>
        </w:rPr>
      </w:pPr>
      <w:r>
        <w:rPr>
          <w:rStyle w:val="a5"/>
          <w:rFonts w:ascii="黑体" w:eastAsia="黑体" w:hint="eastAsia"/>
          <w:b w:val="0"/>
          <w:color w:val="000000"/>
          <w:sz w:val="32"/>
          <w:szCs w:val="32"/>
        </w:rPr>
        <w:lastRenderedPageBreak/>
        <w:t>四、2022年兰溪市信访局部门预算表</w:t>
      </w:r>
    </w:p>
    <w:p w14:paraId="20B1E356"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（一）2022年部门收支预算总表</w:t>
      </w:r>
    </w:p>
    <w:p w14:paraId="636B23E5"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（二）2022年部门收入预算总表</w:t>
      </w:r>
    </w:p>
    <w:p w14:paraId="204CF73D"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（三）2022年部门支出预算总表</w:t>
      </w:r>
    </w:p>
    <w:p w14:paraId="43B599FB"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（四）2022年部门财政拨款收支预算总表</w:t>
      </w:r>
    </w:p>
    <w:p w14:paraId="28E0FC37"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（五）2022年部门一般公共预算支出表</w:t>
      </w:r>
    </w:p>
    <w:p w14:paraId="5A388F23"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（六）2022年部门一般公共预算基本支出表</w:t>
      </w:r>
    </w:p>
    <w:p w14:paraId="46D824A8"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（七）2022年部门一般公共预算“三公”经费支出表</w:t>
      </w:r>
    </w:p>
    <w:p w14:paraId="6D030CEE"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（八）2022年部门政府性基金预算支出表</w:t>
      </w:r>
    </w:p>
    <w:p w14:paraId="291406BD" w14:textId="77777777" w:rsidR="00313A6C" w:rsidRDefault="00000000">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（九）2022年部门国有资本经营预算支出表</w:t>
      </w:r>
    </w:p>
    <w:p w14:paraId="0053594E" w14:textId="77777777" w:rsidR="00313A6C" w:rsidRDefault="00000000">
      <w:pPr>
        <w:ind w:leftChars="200" w:left="420"/>
        <w:jc w:val="left"/>
        <w:rPr>
          <w:rStyle w:val="a5"/>
          <w:rFonts w:ascii="黑体" w:eastAsia="黑体"/>
          <w:b w:val="0"/>
          <w:color w:val="000000"/>
          <w:kern w:val="2"/>
          <w:sz w:val="32"/>
          <w:szCs w:val="32"/>
        </w:rPr>
        <w:sectPr w:rsidR="00313A6C">
          <w:footerReference w:type="default" r:id="rId9"/>
          <w:pgSz w:w="11906" w:h="16838"/>
          <w:pgMar w:top="1701" w:right="1587" w:bottom="1701" w:left="1587" w:header="851" w:footer="1077" w:gutter="0"/>
          <w:pgNumType w:fmt="numberInDash" w:start="1"/>
          <w:cols w:space="720"/>
          <w:docGrid w:type="lines" w:linePitch="312"/>
        </w:sectPr>
      </w:pPr>
      <w:r>
        <w:rPr>
          <w:rFonts w:ascii="楷体_GB2312" w:eastAsia="楷体_GB2312" w:hAnsi="楷体_GB2312" w:cs="楷体_GB2312" w:hint="eastAsia"/>
          <w:bCs/>
          <w:sz w:val="32"/>
          <w:szCs w:val="32"/>
        </w:rPr>
        <w:t>（十）2022年部门项目支出预算</w:t>
      </w:r>
    </w:p>
    <w:p w14:paraId="1895B43E" w14:textId="77777777" w:rsidR="00313A6C" w:rsidRDefault="00313A6C">
      <w:pPr>
        <w:pStyle w:val="Default"/>
        <w:rPr>
          <w:rStyle w:val="a5"/>
          <w:rFonts w:ascii="黑体" w:eastAsia="黑体" w:hAnsi="黑体" w:cs="黑体" w:hint="default"/>
          <w:bCs w:val="0"/>
          <w:sz w:val="32"/>
          <w:szCs w:val="32"/>
        </w:rPr>
      </w:pPr>
    </w:p>
    <w:p w14:paraId="42307D20" w14:textId="77777777" w:rsidR="00313A6C" w:rsidRDefault="00313A6C">
      <w:pPr>
        <w:overflowPunct/>
        <w:autoSpaceDE/>
        <w:autoSpaceDN/>
        <w:adjustRightInd/>
        <w:spacing w:line="560" w:lineRule="exact"/>
        <w:textAlignment w:val="auto"/>
        <w:rPr>
          <w:rStyle w:val="a5"/>
          <w:rFonts w:ascii="黑体" w:eastAsia="黑体" w:hAnsi="黑体" w:cs="黑体"/>
          <w:bCs w:val="0"/>
          <w:color w:val="000000"/>
          <w:sz w:val="32"/>
          <w:szCs w:val="32"/>
        </w:rPr>
        <w:sectPr w:rsidR="00313A6C">
          <w:footerReference w:type="default" r:id="rId10"/>
          <w:pgSz w:w="11906" w:h="16838"/>
          <w:pgMar w:top="1701" w:right="1587" w:bottom="1701" w:left="1587" w:header="851" w:footer="1077" w:gutter="0"/>
          <w:pgNumType w:fmt="numberInDash" w:start="1"/>
          <w:cols w:space="720"/>
          <w:docGrid w:type="lines" w:linePitch="312"/>
        </w:sectPr>
      </w:pPr>
    </w:p>
    <w:p w14:paraId="593D0B39" w14:textId="77777777" w:rsidR="00313A6C" w:rsidRDefault="00000000">
      <w:pPr>
        <w:overflowPunct/>
        <w:autoSpaceDE/>
        <w:autoSpaceDN/>
        <w:adjustRightInd/>
        <w:spacing w:line="560" w:lineRule="exact"/>
        <w:textAlignment w:val="auto"/>
        <w:rPr>
          <w:rStyle w:val="a5"/>
          <w:rFonts w:ascii="黑体" w:eastAsia="黑体" w:hAnsi="黑体" w:cs="黑体"/>
          <w:bCs w:val="0"/>
          <w:color w:val="000000"/>
          <w:sz w:val="32"/>
          <w:szCs w:val="32"/>
        </w:rPr>
      </w:pPr>
      <w:r>
        <w:rPr>
          <w:rStyle w:val="a5"/>
          <w:rFonts w:ascii="黑体" w:eastAsia="黑体" w:hAnsi="黑体" w:cs="黑体" w:hint="eastAsia"/>
          <w:bCs w:val="0"/>
          <w:color w:val="000000"/>
          <w:sz w:val="32"/>
          <w:szCs w:val="32"/>
        </w:rPr>
        <w:lastRenderedPageBreak/>
        <w:t>一、兰溪市信访局部门概况</w:t>
      </w:r>
    </w:p>
    <w:p w14:paraId="15E46A84" w14:textId="77777777" w:rsidR="00313A6C"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14:paraId="76D71780"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1.负责处理通过信访渠道给市委、市政府及其他领导同志的来信、来电、网上信访事项，接待群众来访。</w:t>
      </w:r>
    </w:p>
    <w:p w14:paraId="34AD89A1"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2.负责梳理汇总群众信访中的重要建议、意见和问题，并向市委、市政府反映，综合分析研判信访信息，开展调查研究，提出制定修改完善有关政策法规的建议。</w:t>
      </w:r>
    </w:p>
    <w:p w14:paraId="0085B059"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3.负责办理上级机关和市委、市政府及其领导同志转办、交办的信访事项，督促检查重要信访事项的处理和落实。</w:t>
      </w:r>
    </w:p>
    <w:p w14:paraId="23CAE50E"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4.协调处理重要信访问题和突发信访事件。负责牵头处理和化解疑难复杂信访问题。承担市政府的信访事项复查复核具体办理工作。</w:t>
      </w:r>
    </w:p>
    <w:p w14:paraId="39C20FB2"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5.综合协调指导全市信访工作，推动中央、省委、金华市委以及兰溪市委、市政府关于信访工作决策部署的贯彻落实。总结推广信访工作经验，提出加强和改进信访工作的意见和建议。检查、指导乡镇（街道）和市直有关部门单位的信访工作。</w:t>
      </w:r>
    </w:p>
    <w:p w14:paraId="64E0FB30"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6.开展信访工作宣传和信息发布，负责人民建议意见征集、民生实事项目的调研采集。</w:t>
      </w:r>
    </w:p>
    <w:p w14:paraId="26114897" w14:textId="77777777" w:rsidR="00313A6C" w:rsidRDefault="00000000">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7.负责管理统一政务咨询投诉举报平台，指导全市12345政务服务热线工作。</w:t>
      </w:r>
    </w:p>
    <w:p w14:paraId="001A8EC5" w14:textId="77777777" w:rsidR="00313A6C" w:rsidRDefault="00000000">
      <w:pPr>
        <w:spacing w:line="560" w:lineRule="exact"/>
        <w:ind w:firstLineChars="196" w:firstLine="627"/>
      </w:pPr>
      <w:r>
        <w:rPr>
          <w:rFonts w:ascii="华文仿宋" w:eastAsia="华文仿宋" w:hAnsi="华文仿宋" w:cs="华文仿宋" w:hint="eastAsia"/>
          <w:bCs/>
          <w:sz w:val="32"/>
          <w:szCs w:val="32"/>
        </w:rPr>
        <w:t>8.完成市委、市政府交办的其他任务。</w:t>
      </w:r>
    </w:p>
    <w:p w14:paraId="15E3BABD" w14:textId="77777777" w:rsidR="00313A6C"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（二）部门机构设置情况</w:t>
      </w:r>
    </w:p>
    <w:p w14:paraId="5C7FADB7" w14:textId="77777777" w:rsidR="00313A6C" w:rsidRDefault="00000000">
      <w:pPr>
        <w:pStyle w:val="Default"/>
        <w:spacing w:line="560" w:lineRule="exact"/>
        <w:ind w:firstLineChars="200" w:firstLine="640"/>
        <w:rPr>
          <w:rFonts w:ascii="华文仿宋" w:eastAsia="华文仿宋" w:hAnsi="华文仿宋" w:cs="华文仿宋" w:hint="default"/>
          <w:bCs/>
          <w:color w:val="auto"/>
          <w:kern w:val="2"/>
          <w:sz w:val="32"/>
          <w:szCs w:val="32"/>
        </w:rPr>
      </w:pPr>
      <w:r>
        <w:rPr>
          <w:rFonts w:ascii="华文仿宋" w:eastAsia="华文仿宋" w:hAnsi="华文仿宋" w:cs="华文仿宋"/>
          <w:bCs/>
          <w:color w:val="auto"/>
          <w:kern w:val="2"/>
          <w:sz w:val="32"/>
          <w:szCs w:val="32"/>
        </w:rPr>
        <w:t>1.兰溪市信访局内设综合科（挂复查复核和督查科牌子）、</w:t>
      </w:r>
      <w:r>
        <w:rPr>
          <w:rFonts w:ascii="华文仿宋" w:eastAsia="华文仿宋" w:hAnsi="华文仿宋" w:cs="华文仿宋"/>
          <w:bCs/>
          <w:color w:val="auto"/>
          <w:kern w:val="2"/>
          <w:sz w:val="32"/>
          <w:szCs w:val="32"/>
        </w:rPr>
        <w:lastRenderedPageBreak/>
        <w:t>接访科、办信和网上信访科、市信访受理调处中心。</w:t>
      </w:r>
    </w:p>
    <w:p w14:paraId="29383183" w14:textId="77777777" w:rsidR="00313A6C" w:rsidRDefault="00000000">
      <w:pPr>
        <w:spacing w:line="560" w:lineRule="exact"/>
        <w:ind w:firstLineChars="196" w:firstLine="627"/>
        <w:rPr>
          <w:rFonts w:ascii="华文仿宋" w:eastAsia="华文仿宋" w:hAnsi="华文仿宋" w:cs="华文仿宋"/>
          <w:bCs/>
          <w:kern w:val="2"/>
          <w:sz w:val="32"/>
          <w:szCs w:val="32"/>
        </w:rPr>
      </w:pPr>
      <w:r>
        <w:rPr>
          <w:rFonts w:ascii="华文仿宋" w:eastAsia="华文仿宋" w:hAnsi="华文仿宋" w:cs="华文仿宋" w:hint="eastAsia"/>
          <w:bCs/>
          <w:kern w:val="2"/>
          <w:sz w:val="32"/>
          <w:szCs w:val="32"/>
        </w:rPr>
        <w:t>2.</w:t>
      </w:r>
      <w:r>
        <w:rPr>
          <w:rFonts w:ascii="华文仿宋" w:eastAsia="华文仿宋" w:hAnsi="华文仿宋" w:cs="华文仿宋" w:hint="eastAsia"/>
          <w:bCs/>
          <w:sz w:val="32"/>
          <w:szCs w:val="32"/>
        </w:rPr>
        <w:t>从预算单位构成看，兰溪市信访局预算包括：本级预算、所属事业单位兰溪市信访受理调处中心预算（不单独预算）。</w:t>
      </w:r>
    </w:p>
    <w:p w14:paraId="6BD02715" w14:textId="77777777" w:rsidR="00313A6C" w:rsidRDefault="00000000">
      <w:pPr>
        <w:spacing w:line="560" w:lineRule="exact"/>
        <w:ind w:firstLineChars="200" w:firstLine="643"/>
        <w:rPr>
          <w:rFonts w:ascii="华文仿宋" w:eastAsia="华文仿宋" w:hAnsi="华文仿宋" w:cs="华文仿宋"/>
          <w:b/>
          <w:color w:val="000000"/>
          <w:sz w:val="32"/>
          <w:szCs w:val="32"/>
          <w:u w:val="single"/>
        </w:rPr>
      </w:pPr>
      <w:r>
        <w:rPr>
          <w:rStyle w:val="a5"/>
          <w:rFonts w:ascii="楷体_GB2312" w:eastAsia="楷体_GB2312" w:hAnsi="楷体_GB2312" w:cs="楷体_GB2312" w:hint="eastAsia"/>
          <w:bCs w:val="0"/>
          <w:color w:val="000000"/>
          <w:sz w:val="32"/>
          <w:szCs w:val="32"/>
        </w:rPr>
        <w:t>二、兰溪市信访局2022年部门预算安排情况说明</w:t>
      </w:r>
      <w:r>
        <w:rPr>
          <w:rStyle w:val="a5"/>
          <w:rFonts w:ascii="楷体_GB2312" w:eastAsia="楷体_GB2312" w:hAnsi="楷体_GB2312" w:cs="楷体_GB2312" w:hint="eastAsia"/>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a5"/>
          <w:rFonts w:ascii="楷体_GB2312" w:eastAsia="楷体_GB2312" w:hAnsi="楷体_GB2312" w:cs="楷体_GB2312" w:hint="eastAsia"/>
          <w:bCs w:val="0"/>
          <w:color w:val="000000"/>
          <w:sz w:val="32"/>
          <w:szCs w:val="32"/>
        </w:rPr>
        <w:t>信访局2022年收支预算情况的总体说明</w:t>
      </w:r>
    </w:p>
    <w:p w14:paraId="2B784F2F" w14:textId="77777777" w:rsidR="00313A6C" w:rsidRDefault="00000000">
      <w:pPr>
        <w:spacing w:line="560" w:lineRule="exact"/>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 xml:space="preserve">    按照</w:t>
      </w:r>
      <w:r>
        <w:rPr>
          <w:rFonts w:ascii="华文仿宋" w:eastAsia="华文仿宋" w:hAnsi="华文仿宋" w:cs="华文仿宋" w:hint="eastAsia"/>
          <w:bCs/>
          <w:sz w:val="32"/>
          <w:szCs w:val="32"/>
        </w:rPr>
        <w:t>综合预算的原则，兰溪市</w:t>
      </w:r>
      <w:r>
        <w:rPr>
          <w:rFonts w:ascii="华文仿宋" w:eastAsia="华文仿宋" w:hAnsi="华文仿宋" w:cs="华文仿宋" w:hint="eastAsia"/>
          <w:bCs/>
          <w:color w:val="000000"/>
          <w:sz w:val="32"/>
          <w:szCs w:val="32"/>
        </w:rPr>
        <w:t>信访局所有收入和支出均纳入部门预算管理。收入包括：一般公共预算拨款收入；支出按功能科目分包括：一般公共服务支出。兰溪市信访局2022年收支总预算478.77万元。</w:t>
      </w:r>
    </w:p>
    <w:p w14:paraId="41828FF9" w14:textId="77777777" w:rsidR="00313A6C" w:rsidRDefault="0000000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（二）关于兰溪市信访局2022年收入预算情况说明</w:t>
      </w:r>
    </w:p>
    <w:p w14:paraId="48DA0B63" w14:textId="77777777" w:rsidR="00313A6C" w:rsidRDefault="00000000">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兰溪市信访局</w:t>
      </w:r>
      <w:r>
        <w:rPr>
          <w:rFonts w:ascii="仿宋_GB2312" w:eastAsia="仿宋_GB2312" w:hAnsi="仿宋_GB2312" w:cs="仿宋_GB2312" w:hint="eastAsia"/>
          <w:color w:val="000000"/>
          <w:sz w:val="32"/>
          <w:szCs w:val="32"/>
        </w:rPr>
        <w:t>2022年收入预算478.77万元，比上年执行数增加45.47万元，</w:t>
      </w:r>
      <w:r>
        <w:rPr>
          <w:rFonts w:ascii="仿宋_GB2312" w:eastAsia="仿宋_GB2312" w:hAnsi="仿宋_GB2312" w:cs="仿宋_GB2312" w:hint="eastAsia"/>
          <w:color w:val="000000"/>
          <w:sz w:val="32"/>
        </w:rPr>
        <w:t>增</w:t>
      </w:r>
      <w:r>
        <w:rPr>
          <w:rFonts w:ascii="仿宋_GB2312" w:eastAsia="仿宋_GB2312" w:hAnsi="仿宋_GB2312" w:cs="仿宋_GB2312" w:hint="eastAsia"/>
          <w:color w:val="000000"/>
          <w:sz w:val="32"/>
          <w:szCs w:val="32"/>
        </w:rPr>
        <w:t>长10.49</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主要是人员经费增加。</w:t>
      </w:r>
    </w:p>
    <w:p w14:paraId="6FF3BD30" w14:textId="77777777" w:rsidR="00313A6C" w:rsidRDefault="00000000">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其中：一般公共预算拨款收入478.77万元，占100%。</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（三）关于兰溪市信访局2022年支出预算情况说明</w:t>
      </w:r>
      <w:r>
        <w:rPr>
          <w:rFonts w:ascii="仿宋_GB2312" w:eastAsia="仿宋_GB2312" w:hAnsi="仿宋_GB2312" w:cs="仿宋_GB2312" w:hint="eastAsia"/>
          <w:bCs/>
          <w:color w:val="000000"/>
          <w:sz w:val="32"/>
          <w:szCs w:val="32"/>
        </w:rPr>
        <w:t xml:space="preserve">　　</w:t>
      </w:r>
    </w:p>
    <w:p w14:paraId="74ADCDAD" w14:textId="77777777" w:rsidR="00313A6C" w:rsidRDefault="00000000">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兰溪市信访局2022年支出预算478.77万元。</w:t>
      </w:r>
    </w:p>
    <w:p w14:paraId="4AB84DC6" w14:textId="77777777" w:rsidR="00313A6C" w:rsidRDefault="00000000">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按支出功能分类，包括一般公共服务支出478.77万元。</w:t>
      </w:r>
    </w:p>
    <w:p w14:paraId="1B8C7C60" w14:textId="77777777" w:rsidR="00313A6C" w:rsidRDefault="00000000">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2.按支出用途分类，包括人员支出384.92万元，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80.4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日常公用支出27.58万元，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5.76</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项目支出66.28万元，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13.84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w:t>
      </w:r>
    </w:p>
    <w:p w14:paraId="778C2160" w14:textId="77777777" w:rsidR="00313A6C" w:rsidRDefault="00000000">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（四）关于兰溪市信访局2022年财政拨款收支预算情况的总体说明</w:t>
      </w:r>
    </w:p>
    <w:p w14:paraId="55E94A0C" w14:textId="77777777" w:rsidR="00313A6C" w:rsidRDefault="00000000">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兰溪市信访局2022年财政拨款收支总预算478.77万元。包括：一般公共预算拨款收入478.77万元；支出包括：一般公共服务支出478.77万元。</w:t>
      </w:r>
    </w:p>
    <w:p w14:paraId="71CA9708" w14:textId="77777777" w:rsidR="00313A6C" w:rsidRDefault="00000000">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（五）关于兰溪市信访局2022年一般公共预算当年拨款情况说明</w:t>
      </w:r>
    </w:p>
    <w:p w14:paraId="04110499"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14:paraId="1BEA0A45"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兰溪市信访局2022年一般公共预算当年拨款478.77万元，比上年执行数增加45.47万元，主要是人员增加、行政运行成本增加。</w:t>
      </w:r>
    </w:p>
    <w:p w14:paraId="7C98C4BE"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14:paraId="0BC09866" w14:textId="77777777" w:rsidR="00313A6C"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一般公共服务支出（类）478.77万元，占100%。</w:t>
      </w:r>
    </w:p>
    <w:p w14:paraId="76A33FC4" w14:textId="77777777" w:rsidR="00313A6C" w:rsidRDefault="00000000">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3.一般公共预算当年拨款具体使用情况</w:t>
      </w:r>
    </w:p>
    <w:p w14:paraId="6FD243AD" w14:textId="77777777" w:rsidR="00313A6C" w:rsidRDefault="00000000">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 w:eastAsia="仿宋" w:hAnsi="仿宋" w:cs="仿宋" w:hint="eastAsia"/>
          <w:bCs/>
          <w:color w:val="000000"/>
          <w:sz w:val="32"/>
          <w:szCs w:val="32"/>
        </w:rPr>
        <w:t>（</w:t>
      </w:r>
      <w:r>
        <w:rPr>
          <w:rFonts w:ascii="仿宋_GB2312" w:eastAsia="仿宋_GB2312" w:hAnsi="仿宋_GB2312" w:cs="仿宋_GB2312" w:hint="eastAsia"/>
          <w:bCs/>
          <w:color w:val="000000"/>
          <w:sz w:val="32"/>
          <w:szCs w:val="32"/>
        </w:rPr>
        <w:t>1）一般公共服务支出（类）政府办公厅（室）及相关机构事务（款）信访事务（项）6万元，主要用于信访人困难补助。</w:t>
      </w:r>
    </w:p>
    <w:p w14:paraId="707B3F40" w14:textId="77777777" w:rsidR="00313A6C" w:rsidRDefault="00000000">
      <w:pPr>
        <w:overflowPunct/>
        <w:autoSpaceDE/>
        <w:autoSpaceDN/>
        <w:adjustRightInd/>
        <w:spacing w:line="560" w:lineRule="exact"/>
        <w:ind w:firstLineChars="200"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（2）一般公共服务支出（类）其他共产党事务支出（款）行政运行（项）385.39万元，主要用于人员经费、交通费支出。</w:t>
      </w:r>
    </w:p>
    <w:p w14:paraId="433680BF" w14:textId="77777777" w:rsidR="00313A6C" w:rsidRDefault="00000000">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（3）一般公共服务支出（类）其他共产党事务支出（款）行政运行（项）其他共产党事务支出（项）78.68万元，主要用于日常办公经费、信访业务经费。</w:t>
      </w:r>
    </w:p>
    <w:p w14:paraId="1CF5FB07" w14:textId="77777777" w:rsidR="00313A6C"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（4）</w:t>
      </w:r>
      <w:r>
        <w:rPr>
          <w:rFonts w:ascii="仿宋_GB2312" w:eastAsia="仿宋_GB2312" w:hAnsi="宋体" w:cs="仿宋_GB2312"/>
          <w:color w:val="000000"/>
          <w:sz w:val="31"/>
          <w:szCs w:val="31"/>
        </w:rPr>
        <w:t>卫生健康支出（类）行政事业单位医疗（款）行政单位医疗（项）</w:t>
      </w:r>
      <w:r>
        <w:rPr>
          <w:rFonts w:ascii="仿宋_GB2312" w:eastAsia="仿宋_GB2312" w:hAnsi="仿宋_GB2312" w:cs="仿宋_GB2312" w:hint="eastAsia"/>
          <w:bCs/>
          <w:color w:val="000000"/>
          <w:sz w:val="32"/>
          <w:szCs w:val="32"/>
        </w:rPr>
        <w:t>8.7万元，主要用于职工基本医疗保险费。</w:t>
      </w:r>
    </w:p>
    <w:p w14:paraId="23ABF4A4" w14:textId="77777777" w:rsidR="00313A6C" w:rsidRDefault="00000000">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（六）关于兰溪市信访局2022年一般公共预算基本支出情况说明</w:t>
      </w:r>
    </w:p>
    <w:p w14:paraId="16D4FACB"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兰溪市信访局2022年一般公共预算基本支出478.77万元，其中：</w:t>
      </w:r>
    </w:p>
    <w:p w14:paraId="03A5EE9A"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人员经费384.92万元，主要包括：基本工资、津贴补贴、奖金、社会保障缴费、绩效工资、其他工资福利支出、生活补助、医疗费、住房公积金。</w:t>
      </w:r>
    </w:p>
    <w:p w14:paraId="0FBF4DE9"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公用经费27.58万元，主要包括：办公费、邮电费、差旅费、会议费、培训费、公务接待费、劳务费、工会经费、福利费、其他商品和服务支出。</w:t>
      </w:r>
    </w:p>
    <w:p w14:paraId="391C8D75" w14:textId="77777777" w:rsidR="00313A6C" w:rsidRDefault="00000000">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公务交通补贴6.24万元；公共交通费0.94万元；机要通信和应急公务用车经费2万元。</w:t>
      </w:r>
    </w:p>
    <w:p w14:paraId="176B829F" w14:textId="77777777" w:rsidR="00313A6C" w:rsidRDefault="00000000">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（七）关于兰溪市信访局2022年政府性基金预算支出情况说明</w:t>
      </w:r>
    </w:p>
    <w:p w14:paraId="127EBB52" w14:textId="77777777" w:rsidR="00313A6C" w:rsidRDefault="00000000">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兰溪市信访局2022年没有使用政府性基金预算拨款安排的支出。</w:t>
      </w:r>
    </w:p>
    <w:p w14:paraId="22E4FD0D" w14:textId="77777777" w:rsidR="00313A6C" w:rsidRDefault="00000000">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关于兰溪市信访局2022年国有资本经营预算支出情况说明</w:t>
      </w:r>
    </w:p>
    <w:p w14:paraId="45CCA168" w14:textId="77777777" w:rsidR="00313A6C" w:rsidRDefault="00000000">
      <w:pPr>
        <w:overflowPunct/>
        <w:autoSpaceDE/>
        <w:autoSpaceDN/>
        <w:adjustRightInd/>
        <w:spacing w:line="520" w:lineRule="exact"/>
        <w:textAlignment w:val="auto"/>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兰溪市信访局2022年没有使用国有资本经营预算拨款安排的支出。</w:t>
      </w:r>
    </w:p>
    <w:p w14:paraId="5658E9C6" w14:textId="77777777" w:rsidR="00313A6C" w:rsidRDefault="00000000">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（九）关于兰溪市信访局2022年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14:paraId="2C0D2659" w14:textId="77777777" w:rsidR="00313A6C"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兰溪市信访局</w:t>
      </w:r>
      <w:r>
        <w:rPr>
          <w:rFonts w:ascii="仿宋_GB2312" w:eastAsia="仿宋_GB2312" w:hAnsi="仿宋_GB2312" w:cs="仿宋_GB2312" w:hint="eastAsia"/>
          <w:bCs/>
          <w:color w:val="000000"/>
          <w:kern w:val="2"/>
          <w:sz w:val="32"/>
          <w:szCs w:val="32"/>
        </w:rPr>
        <w:t>2022 年“三公”经费预算数为</w:t>
      </w:r>
      <w:r>
        <w:rPr>
          <w:rFonts w:ascii="仿宋_GB2312" w:eastAsia="仿宋_GB2312" w:hAnsi="仿宋_GB2312" w:cs="仿宋_GB2312" w:hint="eastAsia"/>
          <w:bCs/>
          <w:color w:val="000000"/>
          <w:sz w:val="32"/>
          <w:szCs w:val="32"/>
        </w:rPr>
        <w:t>0.9</w:t>
      </w:r>
      <w:r>
        <w:rPr>
          <w:rFonts w:ascii="仿宋_GB2312" w:eastAsia="仿宋_GB2312" w:hAnsi="仿宋_GB2312" w:cs="仿宋_GB2312" w:hint="eastAsia"/>
          <w:bCs/>
          <w:color w:val="000000"/>
          <w:kern w:val="2"/>
          <w:sz w:val="32"/>
          <w:szCs w:val="32"/>
        </w:rPr>
        <w:t>万元，与2021年执行数持平，具体如下：</w:t>
      </w:r>
    </w:p>
    <w:p w14:paraId="0F8500DF" w14:textId="77777777" w:rsidR="00313A6C" w:rsidRDefault="00000000">
      <w:pPr>
        <w:pStyle w:val="p0"/>
        <w:spacing w:line="560" w:lineRule="exact"/>
        <w:ind w:firstLineChars="200" w:firstLine="640"/>
        <w:rPr>
          <w:rFonts w:ascii="华文仿宋" w:eastAsia="华文仿宋" w:hAnsi="华文仿宋" w:cs="华文仿宋"/>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华文仿宋" w:eastAsia="华文仿宋" w:hAnsi="华文仿宋" w:cs="华文仿宋" w:hint="eastAsia"/>
          <w:bCs/>
          <w:color w:val="000000"/>
          <w:kern w:val="2"/>
          <w:sz w:val="32"/>
          <w:szCs w:val="32"/>
        </w:rPr>
        <w:t>2022年</w:t>
      </w:r>
      <w:r>
        <w:rPr>
          <w:rFonts w:ascii="华文仿宋" w:eastAsia="华文仿宋" w:hAnsi="华文仿宋" w:cs="华文仿宋" w:hint="eastAsia"/>
          <w:bCs/>
          <w:sz w:val="32"/>
          <w:szCs w:val="32"/>
        </w:rPr>
        <w:t>无相关预算，与上年度持平。</w:t>
      </w:r>
    </w:p>
    <w:p w14:paraId="7C7F2AFF" w14:textId="42835966" w:rsidR="00313A6C" w:rsidRDefault="00000000">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Pr>
          <w:rFonts w:ascii="仿宋_GB2312" w:eastAsia="仿宋_GB2312" w:hAnsi="仿宋_GB2312" w:cs="仿宋_GB2312" w:hint="eastAsia"/>
          <w:bCs/>
          <w:color w:val="000000"/>
          <w:sz w:val="32"/>
          <w:szCs w:val="32"/>
        </w:rPr>
        <w:t>0.9</w:t>
      </w:r>
      <w:r>
        <w:rPr>
          <w:rFonts w:ascii="仿宋_GB2312" w:eastAsia="仿宋_GB2312" w:hAnsi="仿宋_GB2312" w:cs="仿宋_GB2312" w:hint="eastAsia"/>
          <w:bCs/>
          <w:sz w:val="32"/>
          <w:szCs w:val="32"/>
        </w:rPr>
        <w:t>万元，与上年执行数持平。主要用于接待上级单位视察工作、其他县市</w:t>
      </w:r>
      <w:r>
        <w:rPr>
          <w:rFonts w:ascii="仿宋_GB2312" w:eastAsia="仿宋_GB2312" w:hAnsi="仿宋_GB2312" w:cs="仿宋_GB2312" w:hint="eastAsia"/>
          <w:bCs/>
          <w:sz w:val="32"/>
          <w:szCs w:val="32"/>
        </w:rPr>
        <w:lastRenderedPageBreak/>
        <w:t>单位参观考察等支出，</w:t>
      </w:r>
      <w:r>
        <w:rPr>
          <w:rFonts w:ascii="仿宋" w:eastAsia="仿宋" w:hAnsi="仿宋" w:cs="仿宋"/>
          <w:color w:val="000000"/>
          <w:sz w:val="31"/>
          <w:szCs w:val="31"/>
        </w:rPr>
        <w:t>以及县（市）党委、人民政府和信访系统来</w:t>
      </w:r>
      <w:r>
        <w:rPr>
          <w:rFonts w:ascii="仿宋" w:eastAsia="仿宋" w:hAnsi="仿宋" w:cs="仿宋" w:hint="eastAsia"/>
          <w:color w:val="000000"/>
          <w:sz w:val="31"/>
          <w:szCs w:val="31"/>
        </w:rPr>
        <w:t>兰</w:t>
      </w:r>
      <w:r>
        <w:rPr>
          <w:rFonts w:ascii="仿宋" w:eastAsia="仿宋" w:hAnsi="仿宋" w:cs="仿宋"/>
          <w:color w:val="000000"/>
          <w:sz w:val="31"/>
          <w:szCs w:val="31"/>
        </w:rPr>
        <w:t>公务活动等接待支出</w:t>
      </w:r>
      <w:r>
        <w:rPr>
          <w:rFonts w:ascii="仿宋_GB2312" w:eastAsia="仿宋_GB2312" w:hAnsi="宋体" w:cs="仿宋_GB2312"/>
          <w:color w:val="000000"/>
          <w:sz w:val="31"/>
          <w:szCs w:val="31"/>
        </w:rPr>
        <w:t>。</w:t>
      </w:r>
      <w:r>
        <w:rPr>
          <w:rFonts w:ascii="仿宋_GB2312" w:eastAsia="仿宋_GB2312" w:hAnsi="仿宋_GB2312" w:cs="仿宋_GB2312" w:hint="eastAsia"/>
          <w:bCs/>
          <w:sz w:val="32"/>
          <w:szCs w:val="32"/>
        </w:rPr>
        <w:t>持平的主要原因</w:t>
      </w:r>
      <w:r>
        <w:rPr>
          <w:rFonts w:ascii="仿宋_GB2312" w:eastAsia="仿宋_GB2312" w:hAnsi="宋体" w:cs="仿宋_GB2312"/>
          <w:color w:val="000000"/>
          <w:sz w:val="31"/>
          <w:szCs w:val="31"/>
        </w:rPr>
        <w:t>是</w:t>
      </w:r>
      <w:r>
        <w:rPr>
          <w:rFonts w:ascii="仿宋" w:eastAsia="仿宋" w:hAnsi="仿宋" w:cs="仿宋"/>
          <w:color w:val="000000"/>
          <w:sz w:val="31"/>
          <w:szCs w:val="31"/>
        </w:rPr>
        <w:t>进一步认真贯彻落实党中央、国务院关于改进工作作风、密切联系群众，厉行勤俭节约、反对铺张浪费的一系列政策规定和要求</w:t>
      </w:r>
      <w:r>
        <w:rPr>
          <w:rFonts w:ascii="仿宋_GB2312" w:eastAsia="仿宋_GB2312" w:hAnsi="宋体" w:cs="仿宋_GB2312" w:hint="eastAsia"/>
          <w:color w:val="000000"/>
          <w:sz w:val="31"/>
          <w:szCs w:val="31"/>
        </w:rPr>
        <w:t>。</w:t>
      </w:r>
    </w:p>
    <w:p w14:paraId="35A17D7C" w14:textId="77777777" w:rsidR="00313A6C" w:rsidRDefault="00000000">
      <w:pPr>
        <w:pStyle w:val="p0"/>
        <w:spacing w:line="560" w:lineRule="exact"/>
        <w:ind w:firstLineChars="200" w:firstLine="640"/>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w:t>
      </w:r>
      <w:r>
        <w:rPr>
          <w:rFonts w:ascii="华文仿宋" w:eastAsia="华文仿宋" w:hAnsi="华文仿宋" w:cs="华文仿宋" w:hint="eastAsia"/>
          <w:bCs/>
          <w:color w:val="000000"/>
          <w:kern w:val="2"/>
          <w:sz w:val="32"/>
          <w:szCs w:val="32"/>
        </w:rPr>
        <w:t>2021年</w:t>
      </w:r>
      <w:r>
        <w:rPr>
          <w:rFonts w:ascii="华文仿宋" w:eastAsia="华文仿宋" w:hAnsi="华文仿宋" w:cs="华文仿宋" w:hint="eastAsia"/>
          <w:bCs/>
          <w:sz w:val="32"/>
          <w:szCs w:val="32"/>
        </w:rPr>
        <w:t>无相关预算，与上年度持平。</w:t>
      </w:r>
    </w:p>
    <w:p w14:paraId="0F57D9D6" w14:textId="77777777" w:rsidR="00313A6C" w:rsidRDefault="00000000">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14:paraId="384CADC6" w14:textId="77777777" w:rsidR="00313A6C" w:rsidRDefault="00000000">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1.机关运行经费（行政参公单位填写，事业单位请删除）。</w:t>
      </w:r>
    </w:p>
    <w:p w14:paraId="70B36642" w14:textId="77777777" w:rsidR="00313A6C" w:rsidRDefault="00000000">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2022年兰溪市信访局</w:t>
      </w:r>
      <w:r>
        <w:rPr>
          <w:rFonts w:ascii="仿宋_GB2312" w:eastAsia="仿宋_GB2312" w:hint="eastAsia"/>
          <w:color w:val="000000"/>
          <w:sz w:val="32"/>
          <w:szCs w:val="32"/>
        </w:rPr>
        <w:t>本级的机关运行经费财政拨款预算385.39万元，比上年预算增加12.37</w:t>
      </w:r>
      <w:r>
        <w:rPr>
          <w:rFonts w:ascii="仿宋_GB2312" w:eastAsia="仿宋_GB2312" w:hint="eastAsia"/>
          <w:sz w:val="32"/>
          <w:szCs w:val="32"/>
        </w:rPr>
        <w:t>万元</w:t>
      </w:r>
      <w:r>
        <w:rPr>
          <w:rFonts w:ascii="仿宋_GB2312" w:eastAsia="仿宋_GB2312" w:hAnsi="仿宋_GB2312" w:hint="eastAsia"/>
          <w:kern w:val="2"/>
          <w:sz w:val="32"/>
          <w:szCs w:val="20"/>
          <w:lang w:bidi="ar"/>
        </w:rPr>
        <w:t>，增长3.32%，主要</w:t>
      </w:r>
      <w:r>
        <w:rPr>
          <w:rFonts w:ascii="仿宋_GB2312" w:eastAsia="仿宋_GB2312" w:hAnsi="宋体" w:cs="仿宋_GB2312"/>
          <w:color w:val="000000"/>
          <w:sz w:val="31"/>
          <w:szCs w:val="31"/>
        </w:rPr>
        <w:t>是人员增加，</w:t>
      </w:r>
      <w:r>
        <w:rPr>
          <w:rFonts w:ascii="仿宋_GB2312" w:eastAsia="仿宋_GB2312" w:hAnsi="宋体" w:cs="仿宋_GB2312" w:hint="eastAsia"/>
          <w:color w:val="000000"/>
          <w:spacing w:val="15"/>
          <w:sz w:val="31"/>
          <w:szCs w:val="31"/>
        </w:rPr>
        <w:t>行政运行、社会保障和就业支出、卫生健康支出、住房保障支出增长所致</w:t>
      </w:r>
      <w:r>
        <w:rPr>
          <w:rFonts w:ascii="仿宋_GB2312" w:eastAsia="仿宋_GB2312" w:hAnsi="宋体" w:cs="仿宋_GB2312" w:hint="eastAsia"/>
          <w:color w:val="000000"/>
          <w:sz w:val="31"/>
          <w:szCs w:val="31"/>
        </w:rPr>
        <w:t>。</w:t>
      </w:r>
    </w:p>
    <w:p w14:paraId="2D66F04F" w14:textId="77777777" w:rsidR="00313A6C" w:rsidRDefault="00000000">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14:paraId="611DC3C4" w14:textId="77777777" w:rsidR="00313A6C" w:rsidRDefault="00000000">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Pr>
          <w:rFonts w:ascii="仿宋_GB2312" w:eastAsia="仿宋_GB2312" w:hint="eastAsia"/>
          <w:color w:val="000000"/>
          <w:sz w:val="32"/>
          <w:szCs w:val="32"/>
        </w:rPr>
        <w:t>兰溪市信访局各单位政府采购预算总额0万元，其中：政府采购货物预算0万元、政府采购工程预算0万元、政府采购服务预算0万元。</w:t>
      </w:r>
    </w:p>
    <w:p w14:paraId="4DEC1177" w14:textId="77777777" w:rsidR="00313A6C" w:rsidRDefault="00000000">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14:paraId="7466E535" w14:textId="77777777" w:rsidR="00313A6C" w:rsidRDefault="00000000">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截至2021年12月31日，兰溪市信访局所属各预算单位共有车辆</w:t>
      </w:r>
      <w:r>
        <w:rPr>
          <w:rFonts w:ascii="仿宋_GB2312" w:eastAsia="仿宋_GB2312" w:hAnsi="仿宋_GB2312" w:cs="仿宋_GB2312" w:hint="eastAsia"/>
          <w:sz w:val="32"/>
          <w:szCs w:val="32"/>
        </w:rPr>
        <w:t xml:space="preserve">0辆。单位价值50万元以上通用设备0台（套），单位价值100万元以上专用设备0台（套）。 </w:t>
      </w:r>
    </w:p>
    <w:p w14:paraId="2A74206F"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2022年部门预算未安排购置车辆、单位价值50万元以上通用设备及单位价值100万元以上专用设备）。</w:t>
      </w:r>
    </w:p>
    <w:p w14:paraId="440D17AB" w14:textId="77777777" w:rsidR="00313A6C" w:rsidRDefault="00000000">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4.绩效目标设置情况</w:t>
      </w:r>
    </w:p>
    <w:p w14:paraId="4551D0B0"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2022年</w:t>
      </w:r>
      <w:r>
        <w:rPr>
          <w:rFonts w:ascii="仿宋_GB2312" w:eastAsia="仿宋_GB2312" w:hAnsi="仿宋_GB2312" w:cs="仿宋_GB2312" w:hint="eastAsia"/>
          <w:bCs/>
          <w:color w:val="000000"/>
          <w:sz w:val="32"/>
          <w:szCs w:val="32"/>
        </w:rPr>
        <w:t>兰溪市信访局其他运转类和特定目标类项目均实行绩效目标管理，涉及一般公共预算当年拨款66.28万元，</w:t>
      </w:r>
      <w:r>
        <w:rPr>
          <w:rFonts w:ascii="仿宋_GB2312" w:eastAsia="仿宋_GB2312" w:hAnsi="仿宋_GB2312" w:cs="仿宋_GB2312" w:hint="eastAsia"/>
          <w:sz w:val="32"/>
          <w:szCs w:val="32"/>
        </w:rPr>
        <w:t>一级项目1个，属于延续性项目。</w:t>
      </w:r>
    </w:p>
    <w:p w14:paraId="6EBFDA68" w14:textId="77777777" w:rsidR="00313A6C" w:rsidRDefault="00000000">
      <w:pPr>
        <w:pStyle w:val="p0"/>
        <w:overflowPunct/>
        <w:autoSpaceDE/>
        <w:autoSpaceDN/>
        <w:adjustRightInd/>
        <w:spacing w:line="560" w:lineRule="exact"/>
        <w:ind w:firstLineChars="200" w:firstLine="643"/>
        <w:textAlignment w:val="auto"/>
        <w:rPr>
          <w:rStyle w:val="a5"/>
          <w:rFonts w:ascii="黑体" w:eastAsia="黑体" w:hAnsi="黑体" w:cs="黑体"/>
          <w:bCs w:val="0"/>
          <w:sz w:val="32"/>
          <w:szCs w:val="32"/>
        </w:rPr>
      </w:pPr>
      <w:r>
        <w:rPr>
          <w:rStyle w:val="a5"/>
          <w:rFonts w:ascii="黑体" w:eastAsia="黑体" w:hAnsi="黑体" w:cs="黑体" w:hint="eastAsia"/>
          <w:bCs w:val="0"/>
          <w:sz w:val="32"/>
          <w:szCs w:val="32"/>
        </w:rPr>
        <w:t>三、名词解释</w:t>
      </w:r>
    </w:p>
    <w:p w14:paraId="512ACC41"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14:paraId="71EAB8D8"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14:paraId="54C23180"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14:paraId="38F1DF3B"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14:paraId="320DAB35"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14:paraId="516DE2C0"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14:paraId="7FA0B910"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14:paraId="53E8886F"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14:paraId="1AC6DA46"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14:paraId="59B08200"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10.经营支出：指事业单位在专业业务活动及其辅助活动之外开展非独立核算经营活动发生的支出。</w:t>
      </w:r>
    </w:p>
    <w:p w14:paraId="63781A48"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14:paraId="119525A9" w14:textId="77777777" w:rsidR="00313A6C" w:rsidRDefault="00000000">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1D26E48" w14:textId="77777777" w:rsidR="00313A6C" w:rsidRDefault="00313A6C">
      <w:pPr>
        <w:jc w:val="left"/>
      </w:pPr>
    </w:p>
    <w:p w14:paraId="20DD883D" w14:textId="77777777" w:rsidR="00313A6C" w:rsidRDefault="00313A6C"/>
    <w:sectPr w:rsidR="00313A6C">
      <w:footerReference w:type="default" r:id="rId11"/>
      <w:pgSz w:w="11906" w:h="16838"/>
      <w:pgMar w:top="1701" w:right="1587" w:bottom="1701" w:left="1587" w:header="851" w:footer="107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2285" w14:textId="77777777" w:rsidR="002B4215" w:rsidRDefault="002B4215">
      <w:r>
        <w:separator/>
      </w:r>
    </w:p>
  </w:endnote>
  <w:endnote w:type="continuationSeparator" w:id="0">
    <w:p w14:paraId="7B790AEF" w14:textId="77777777" w:rsidR="002B4215" w:rsidRDefault="002B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2408" w14:textId="77777777" w:rsidR="00313A6C" w:rsidRDefault="00000000">
    <w:pPr>
      <w:pStyle w:val="a3"/>
      <w:framePr w:wrap="around" w:vAnchor="text" w:hAnchor="margin" w:xAlign="outside" w:y="1"/>
      <w:rPr>
        <w:rStyle w:val="a6"/>
      </w:rPr>
    </w:pPr>
    <w:r>
      <w:fldChar w:fldCharType="begin"/>
    </w:r>
    <w:r>
      <w:rPr>
        <w:rStyle w:val="a6"/>
      </w:rPr>
      <w:instrText xml:space="preserve">PAGE  </w:instrText>
    </w:r>
    <w:r>
      <w:fldChar w:fldCharType="end"/>
    </w:r>
  </w:p>
  <w:p w14:paraId="35F84144" w14:textId="77777777" w:rsidR="00313A6C" w:rsidRDefault="00313A6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CA64" w14:textId="77777777" w:rsidR="00313A6C" w:rsidRDefault="00313A6C">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01C8" w14:textId="77777777" w:rsidR="00313A6C" w:rsidRDefault="00313A6C">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A63A" w14:textId="77777777" w:rsidR="00313A6C" w:rsidRDefault="00313A6C">
    <w:pPr>
      <w:pStyle w:val="a3"/>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4722" w14:textId="77777777" w:rsidR="00313A6C" w:rsidRDefault="00000000">
    <w:pPr>
      <w:pStyle w:val="a3"/>
      <w:framePr w:wrap="around" w:vAnchor="text" w:hAnchor="page" w:x="9605" w:y="1"/>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sz w:val="28"/>
        <w:szCs w:val="28"/>
      </w:rPr>
      <w:t>- 3 -</w:t>
    </w:r>
    <w:r>
      <w:rPr>
        <w:rFonts w:ascii="宋体" w:hAnsi="宋体"/>
        <w:sz w:val="28"/>
        <w:szCs w:val="28"/>
      </w:rPr>
      <w:fldChar w:fldCharType="end"/>
    </w:r>
  </w:p>
  <w:p w14:paraId="17B2866C" w14:textId="77777777" w:rsidR="00313A6C" w:rsidRDefault="00313A6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49F4" w14:textId="77777777" w:rsidR="002B4215" w:rsidRDefault="002B4215">
      <w:r>
        <w:separator/>
      </w:r>
    </w:p>
  </w:footnote>
  <w:footnote w:type="continuationSeparator" w:id="0">
    <w:p w14:paraId="2B84281B" w14:textId="77777777" w:rsidR="002B4215" w:rsidRDefault="002B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A6003A1"/>
    <w:multiLevelType w:val="singleLevel"/>
    <w:tmpl w:val="5A6003A1"/>
    <w:lvl w:ilvl="0">
      <w:start w:val="1"/>
      <w:numFmt w:val="decimal"/>
      <w:suff w:val="nothing"/>
      <w:lvlText w:val="%1."/>
      <w:lvlJc w:val="left"/>
    </w:lvl>
  </w:abstractNum>
  <w:num w:numId="1" w16cid:durableId="1644044989">
    <w:abstractNumId w:val="1"/>
  </w:num>
  <w:num w:numId="2" w16cid:durableId="43051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BiZmFkMmJhZTdmYTI1NTk5ZTdlNjg0MmQyNTExZTcifQ=="/>
  </w:docVars>
  <w:rsids>
    <w:rsidRoot w:val="092A2287"/>
    <w:rsid w:val="002B4215"/>
    <w:rsid w:val="00313A6C"/>
    <w:rsid w:val="00F42472"/>
    <w:rsid w:val="0319256C"/>
    <w:rsid w:val="05E256B5"/>
    <w:rsid w:val="092A2287"/>
    <w:rsid w:val="11BD0CCB"/>
    <w:rsid w:val="13775A28"/>
    <w:rsid w:val="191D1644"/>
    <w:rsid w:val="25E048D0"/>
    <w:rsid w:val="2BED37E5"/>
    <w:rsid w:val="307C4B51"/>
    <w:rsid w:val="321348BE"/>
    <w:rsid w:val="51E36CC7"/>
    <w:rsid w:val="67EE0FDA"/>
    <w:rsid w:val="76ED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70877"/>
  <w15:docId w15:val="{698F409F-5B76-44D1-8853-07E3D29E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overflowPunct w:val="0"/>
      <w:autoSpaceDE w:val="0"/>
      <w:autoSpaceDN w:val="0"/>
      <w:adjustRightInd w:val="0"/>
      <w:jc w:val="both"/>
      <w:textAlignment w:val="baseline"/>
    </w:pPr>
    <w:rPr>
      <w:rFonts w:ascii="Calibri" w:hAnsi="Calibr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qFormat/>
    <w:rPr>
      <w:szCs w:val="24"/>
    </w:rPr>
  </w:style>
  <w:style w:type="character" w:styleId="a5">
    <w:name w:val="Strong"/>
    <w:basedOn w:val="a0"/>
    <w:qFormat/>
    <w:rPr>
      <w:b/>
      <w:bCs/>
    </w:rPr>
  </w:style>
  <w:style w:type="character" w:styleId="a6">
    <w:name w:val="page number"/>
    <w:basedOn w:val="a0"/>
    <w:qFormat/>
  </w:style>
  <w:style w:type="paragraph" w:customStyle="1" w:styleId="p0">
    <w:name w:val="p0"/>
    <w:basedOn w:val="a"/>
    <w:qForma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芳泽 叶</cp:lastModifiedBy>
  <cp:revision>2</cp:revision>
  <dcterms:created xsi:type="dcterms:W3CDTF">2022-02-16T06:50:00Z</dcterms:created>
  <dcterms:modified xsi:type="dcterms:W3CDTF">2023-09-21T07:02:00Z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EE4CAE0778F249698919F9D596AF3C59</vt:lpwstr>
  </property>
</Properties>
</file>