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spacing w:line="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5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sz w:val="30"/>
          <w:szCs w:val="30"/>
        </w:rPr>
        <w:t>水政</w:t>
      </w:r>
      <w:r>
        <w:rPr>
          <w:rFonts w:hint="eastAsia" w:ascii="仿宋_GB2312" w:eastAsia="仿宋_GB2312" w:hAnsi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〕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号                         签发人：蓝晓慧</w:t>
      </w:r>
    </w:p>
    <w:p>
      <w:pPr>
        <w:spacing w:before="468" w:beforeLines="150"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水亭畲族乡人民政府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水亭畲族乡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人民调解工作激励实施办法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各行政村、相关企业：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为进一步提升新形势下人民调解工作实效，充分发挥人民调解在化解矛盾纠纷、维护社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稳定中的“第一道防线”作用，根据《中华人民共和国人民调解法》、《关于进一步加强司法所建设改革的意见》（浙司〔2020〕41号）、《关于进一步加强基层司法所建设的意见》（金委办发〔2019〕43号）、《关于加强村（社区）社会治理力量建设的若干意见（试行）》（兰委办发〔2020〕23号）和《关于进一步加强人民调解工作的意见》</w:t>
      </w:r>
      <w:r>
        <w:rPr>
          <w:rFonts w:hint="eastAsia" w:ascii="仿宋_GB2312" w:eastAsia="仿宋_GB2312"/>
          <w:sz w:val="32"/>
          <w:szCs w:val="32"/>
        </w:rPr>
        <w:t>（兰委办〔2015〕65号）等文件精神和要求，结合我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一、适用范围、激励对象、经费来源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人民调解工作激励经费分为调解员办案补贴（以下简称“以奖代补、以案定补”）、专项调解工作补贴、人民调解工作优秀奖励三类。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激励对象范围：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水亭畲族乡辖区内各人民调解委员会成员且</w:t>
      </w:r>
      <w:r>
        <w:rPr>
          <w:rFonts w:hint="eastAsia" w:ascii="仿宋_GB2312" w:eastAsia="仿宋_GB2312"/>
          <w:sz w:val="32"/>
          <w:szCs w:val="32"/>
        </w:rPr>
        <w:t>不具有</w:t>
      </w:r>
      <w:r>
        <w:rPr>
          <w:rFonts w:hint="eastAsia" w:ascii="仿宋_GB2312" w:eastAsia="仿宋_GB2312"/>
          <w:sz w:val="32"/>
          <w:szCs w:val="32"/>
          <w:lang w:eastAsia="zh-CN"/>
        </w:rPr>
        <w:t>行政、事业</w:t>
      </w:r>
      <w:r>
        <w:rPr>
          <w:rFonts w:hint="eastAsia" w:ascii="仿宋_GB2312" w:eastAsia="仿宋_GB2312"/>
          <w:sz w:val="32"/>
          <w:szCs w:val="32"/>
        </w:rPr>
        <w:t>编制的人民调解员。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积极参与人民调解工作的法律顾问、律师。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经费</w:t>
      </w:r>
      <w:r>
        <w:rPr>
          <w:rFonts w:hint="eastAsia" w:ascii="仿宋_GB2312" w:eastAsia="仿宋_GB2312"/>
          <w:sz w:val="32"/>
          <w:szCs w:val="32"/>
          <w:lang w:eastAsia="zh-CN"/>
        </w:rPr>
        <w:t>来源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设立全乡人民调解工作激励经费专项资金，按照《财政部司法部关于进一步加强人民调解工作经费保障意见的通知》（财行〔2007〕179号）和省、市有关文件精神规定列入乡财政预算。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二、以奖代补、以案定补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每季度对调处成功并制作成规范协议书（包括口头调处案件制作《人民调解口头协议登记表》）或案卷的人民调解案件，根据评查结果，兑现案件补贴，同时案件等级以兰溪市司法局评定为准，奖励标准如有变动则参考上级相关文件自动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1.口头协议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经口头调解成功并制作《人民调解口头协议登记表》的，经评查合格每件奖励30元。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2.书面协议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成功调处矛盾纠纷，规范制作调解案卷，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根据评查结果，</w:t>
      </w:r>
      <w:r>
        <w:rPr>
          <w:rFonts w:hint="eastAsia" w:ascii="仿宋_GB2312" w:eastAsia="仿宋_GB2312"/>
          <w:sz w:val="32"/>
          <w:szCs w:val="32"/>
        </w:rPr>
        <w:t>按以下标准奖励：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①简易纠纷的奖励标准为100元/起，范围：调处成功并</w:t>
      </w:r>
      <w:r>
        <w:rPr>
          <w:rFonts w:hint="eastAsia" w:ascii="仿宋_GB2312" w:eastAsia="仿宋_GB2312"/>
          <w:sz w:val="32"/>
          <w:szCs w:val="32"/>
        </w:rPr>
        <w:t>制作书面调解协议。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②一般复杂纠纷的奖励标准为200元/起，范围：协议金额在10万元（含10万元）以下的，经调处成功并制作规范调解案卷。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③疑难复杂纠纷的奖励标准为500元/起，范围：①协议金额在10万元以上的矛盾纠纷（不含民间借贷、经济合同等纠纷）；②一般性非正常死亡矛盾纠纷；③初信初访。经调处成功并制作规范调解案卷。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④重大疑难纠纷的奖励标准为1000元/起，范围：①兰溪市</w:t>
      </w:r>
      <w:r>
        <w:rPr>
          <w:rFonts w:hint="eastAsia" w:ascii="仿宋_GB2312" w:eastAsia="仿宋_GB2312"/>
          <w:sz w:val="32"/>
          <w:szCs w:val="32"/>
          <w:lang w:eastAsia="zh-CN"/>
        </w:rPr>
        <w:t>级及以上党委、政府交办的案件；②多次或多人赴省或赴京上访影响较大的矛盾纠纷；③在本市有重大影响且涉及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10人以上的群体性矛盾纠纷；④两人以上非正常死亡且案情复杂的矛盾纠纷；⑤</w:t>
      </w:r>
      <w:r>
        <w:rPr>
          <w:rFonts w:hint="eastAsia" w:ascii="仿宋_GB2312" w:eastAsia="仿宋_GB2312"/>
          <w:sz w:val="32"/>
          <w:szCs w:val="32"/>
          <w:lang w:eastAsia="zh-CN"/>
        </w:rPr>
        <w:t>其他重特大纠纷。经调处成功并制作规范调解案卷。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重大疑难纠纷根据《浙江省人民调解补助经费管理暂行办法》另行报批、奖励。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三、专项调解工作补贴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（五）为充分发挥律师在预防和化解矛盾纠纷中的专业优势、职业优势和实践优势，积极响应党中央、国务院、最高人民法院、司法部关于建立和发展律师调解工作制度的号召，设立</w:t>
      </w:r>
      <w:r>
        <w:rPr>
          <w:rFonts w:hint="eastAsia" w:ascii="仿宋_GB2312" w:eastAsia="仿宋_GB2312"/>
          <w:sz w:val="32"/>
          <w:szCs w:val="32"/>
        </w:rPr>
        <w:t>专项调解工作补贴</w:t>
      </w:r>
      <w:r>
        <w:rPr>
          <w:rFonts w:hint="eastAsia" w:ascii="仿宋_GB2312" w:eastAsia="仿宋_GB2312"/>
          <w:sz w:val="32"/>
          <w:szCs w:val="32"/>
          <w:lang w:eastAsia="zh-CN"/>
        </w:rPr>
        <w:t>，针对乡政府法律顾问、</w:t>
      </w:r>
      <w:r>
        <w:rPr>
          <w:rFonts w:hint="eastAsia" w:ascii="仿宋_GB2312" w:eastAsia="仿宋_GB2312"/>
          <w:sz w:val="32"/>
          <w:szCs w:val="32"/>
        </w:rPr>
        <w:t>村法律顾问、律师受</w:t>
      </w:r>
      <w:r>
        <w:rPr>
          <w:rFonts w:hint="eastAsia" w:ascii="仿宋_GB2312" w:eastAsia="仿宋_GB2312"/>
          <w:sz w:val="32"/>
          <w:szCs w:val="32"/>
          <w:lang w:eastAsia="zh-CN"/>
        </w:rPr>
        <w:t>乡党委</w:t>
      </w:r>
      <w:r>
        <w:rPr>
          <w:rFonts w:hint="eastAsia" w:ascii="仿宋_GB2312" w:eastAsia="仿宋_GB2312"/>
          <w:sz w:val="32"/>
          <w:szCs w:val="32"/>
        </w:rPr>
        <w:t>、政府及有关部门的委派，现场参与矛盾纠纷调处的</w:t>
      </w:r>
      <w:r>
        <w:rPr>
          <w:rFonts w:hint="eastAsia" w:ascii="仿宋_GB2312" w:eastAsia="仿宋_GB2312"/>
          <w:sz w:val="32"/>
          <w:szCs w:val="32"/>
          <w:lang w:eastAsia="zh-CN"/>
        </w:rPr>
        <w:t>给予</w:t>
      </w:r>
      <w:r>
        <w:rPr>
          <w:rFonts w:hint="eastAsia" w:ascii="仿宋_GB2312" w:eastAsia="仿宋_GB2312"/>
          <w:sz w:val="32"/>
          <w:szCs w:val="32"/>
        </w:rPr>
        <w:t>适当补贴。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）法律顾问、</w:t>
      </w:r>
      <w:r>
        <w:rPr>
          <w:rFonts w:hint="eastAsia" w:ascii="仿宋_GB2312" w:eastAsia="仿宋_GB2312"/>
          <w:sz w:val="32"/>
          <w:szCs w:val="32"/>
        </w:rPr>
        <w:t>律师现场参与我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矛盾纠纷调处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调解成功的，根据纠纷疑难复杂情况给予相应工作补贴：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1.一般复杂纠纷的补贴标准为300元/起,范围：协议金额在10万元（含10万元）以下的。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2.疑难复杂纠纷的补贴标准为500元/起，范围：①协议金额在10万元以上的矛盾纠纷（不含民间借贷、经济合同等纠纷）；②一般性非正常死亡矛盾纠纷；③初信初访。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重大疑难纠纷的补贴标准为1000元/起，范围：①兰溪市级及以上党委、政府交办的案件；②多次或多人赴省或赴京上访影响较大的矛盾纠纷；③在本市有重大影响且涉及10人以上的群体性矛盾纠纷；④两人以上非正常死亡且案情复杂的矛盾纠纷；⑤其他重特大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参与矛盾纠纷现场调处</w:t>
      </w:r>
      <w:r>
        <w:rPr>
          <w:rFonts w:hint="eastAsia" w:ascii="仿宋_GB2312" w:eastAsia="仿宋_GB2312"/>
          <w:sz w:val="32"/>
          <w:szCs w:val="32"/>
          <w:lang w:eastAsia="zh-CN"/>
        </w:rPr>
        <w:t>并调解成功</w:t>
      </w:r>
      <w:r>
        <w:rPr>
          <w:rFonts w:hint="eastAsia" w:ascii="仿宋_GB2312" w:eastAsia="仿宋_GB2312"/>
          <w:sz w:val="32"/>
          <w:szCs w:val="32"/>
        </w:rPr>
        <w:t>后，由</w:t>
      </w:r>
      <w:r>
        <w:rPr>
          <w:rFonts w:hint="eastAsia" w:ascii="仿宋_GB2312" w:eastAsia="仿宋_GB2312"/>
          <w:sz w:val="32"/>
          <w:szCs w:val="32"/>
          <w:lang w:eastAsia="zh-CN"/>
        </w:rPr>
        <w:t>乡人民调解委员会会</w:t>
      </w:r>
      <w:r>
        <w:rPr>
          <w:rFonts w:hint="eastAsia" w:ascii="仿宋_GB2312" w:eastAsia="仿宋_GB2312"/>
          <w:sz w:val="32"/>
          <w:szCs w:val="32"/>
        </w:rPr>
        <w:t>同法律顾问、律师填写《</w:t>
      </w:r>
      <w:r>
        <w:rPr>
          <w:rFonts w:hint="eastAsia" w:ascii="仿宋_GB2312" w:eastAsia="仿宋_GB2312"/>
          <w:sz w:val="32"/>
          <w:szCs w:val="32"/>
          <w:lang w:eastAsia="zh-CN"/>
        </w:rPr>
        <w:t>水亭畲族乡</w:t>
      </w:r>
      <w:r>
        <w:rPr>
          <w:rFonts w:hint="eastAsia" w:ascii="仿宋_GB2312" w:eastAsia="仿宋_GB2312"/>
          <w:sz w:val="32"/>
          <w:szCs w:val="32"/>
        </w:rPr>
        <w:t>专项调解工作补贴申请表》（附件3</w:t>
      </w:r>
      <w:r>
        <w:rPr>
          <w:rFonts w:hint="eastAsia" w:ascii="仿宋_GB2312" w:eastAsia="仿宋_GB2312"/>
          <w:sz w:val="32"/>
          <w:szCs w:val="32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作为申领补贴的依据。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四、人民调解工作优秀奖励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人民调解工作优秀奖励是为发现典型、鼓励先进而对工作积极、表现突出的人民调解员予以适当奖励的激励措施。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九）优秀人民调解员奖励：水亭畲族乡人民调解委员会根据调解纠纷数量、协议履行率、调解文书质量和规范程度、案例报送数量、群众满意度等评价指标进行考核，根据得分情况将专职人民调解员分为优秀、良好、合格、不合格四个等级，每季度评选6名优秀人民调解员，并每人给予500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人民调解员有以下情形之一的，不予评优：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违反人民调解工作规定和工作纪律的；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申报“</w:t>
      </w:r>
      <w:r>
        <w:rPr>
          <w:rFonts w:hint="eastAsia" w:ascii="仿宋_GB2312" w:eastAsia="仿宋_GB2312"/>
          <w:sz w:val="32"/>
          <w:szCs w:val="32"/>
          <w:lang w:eastAsia="zh-CN"/>
        </w:rPr>
        <w:t>以奖代补、</w:t>
      </w:r>
      <w:r>
        <w:rPr>
          <w:rFonts w:hint="eastAsia" w:ascii="仿宋_GB2312" w:eastAsia="仿宋_GB2312"/>
          <w:sz w:val="32"/>
          <w:szCs w:val="32"/>
        </w:rPr>
        <w:t>以案定补”、人民调解工作优秀奖励时弄虚作假的。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工作纪律：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人民调解员受人民调解组织的委派，依法参与矛盾纠纷调处，通过说服、疏导等方法，促使当事人在平等协商基础上自愿达成调解协议，解决民间纠纷，不得收取当事人任何形式的报酬。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严禁在申请补贴和奖励时弄虚作假。上报调解案件、事迹不真实或有造假行为的，取消该人民调解员当年度所有调解案件补贴和评优资格，并由所在的人民调解委员会给予批评教育、责令改正；情节严重的，由推选或者聘任单位予以罢免或者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乡人民调解委员会</w:t>
      </w:r>
      <w:r>
        <w:rPr>
          <w:rFonts w:hint="eastAsia" w:ascii="仿宋_GB2312" w:eastAsia="仿宋_GB2312"/>
          <w:sz w:val="32"/>
          <w:szCs w:val="32"/>
        </w:rPr>
        <w:t>对辖区内的人民调解案件进行逐件审查，通过调阅调解案件卷宗、约谈当事人民调解员、回访调解案件当事人等方式加强对调解案件的抽查，提高调解案件质量。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加强对人民调解工作激励经费使用的管理，严禁侵占、虚报、挪用补贴经费。</w:t>
      </w:r>
      <w:r>
        <w:rPr>
          <w:rFonts w:hint="eastAsia" w:ascii="仿宋_GB2312" w:eastAsia="仿宋_GB2312"/>
          <w:sz w:val="32"/>
          <w:szCs w:val="32"/>
          <w:lang w:eastAsia="zh-CN"/>
        </w:rPr>
        <w:t>乡人民调解委员会</w:t>
      </w:r>
      <w:r>
        <w:rPr>
          <w:rFonts w:hint="eastAsia" w:ascii="仿宋_GB2312" w:eastAsia="仿宋_GB2312"/>
          <w:sz w:val="32"/>
          <w:szCs w:val="32"/>
        </w:rPr>
        <w:t>和财政</w:t>
      </w:r>
      <w:r>
        <w:rPr>
          <w:rFonts w:hint="eastAsia" w:ascii="仿宋_GB2312" w:eastAsia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sz w:val="32"/>
          <w:szCs w:val="32"/>
        </w:rPr>
        <w:t>应当对本方案执行情况进行监督检查，并对存在问题进行通报。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（十二）本办法由水亭畲族乡人民政府负责解释，由水亭畲族乡人民调解委员会负责组织实施。本办法自2023年2月5日起实施，2022年1月1日至2023年2月4日符合本实施办法规定的，参照本办法执行。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"http://www.dg.gov.cn/dgcpz/attachment/0/44/44674/3465917.doc" \t "http://www.dg.gov.cn/dgcpz/gkmlpt/content/3/3465/_blank"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附件1.</w:t>
      </w:r>
      <w:r>
        <w:rPr>
          <w:rFonts w:hint="eastAsia" w:ascii="仿宋_GB2312" w:eastAsia="仿宋_GB2312"/>
          <w:sz w:val="32"/>
          <w:szCs w:val="32"/>
          <w:lang w:eastAsia="zh-CN"/>
        </w:rPr>
        <w:t>水亭畲族乡人民调解工作“以奖代补、以案定补”发放表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"http://www.dg.gov.cn/dgcpz/attachment/0/44/44675/3465917.doc" \t "http://www.dg.gov.cn/dgcpz/gkmlpt/content/3/3465/_blank"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附件2.</w:t>
      </w:r>
      <w:r>
        <w:rPr>
          <w:rFonts w:hint="eastAsia" w:ascii="仿宋_GB2312" w:eastAsia="仿宋_GB2312"/>
          <w:sz w:val="32"/>
          <w:szCs w:val="32"/>
          <w:lang w:eastAsia="zh-CN"/>
        </w:rPr>
        <w:t>水亭畲族乡</w:t>
      </w:r>
      <w:r>
        <w:rPr>
          <w:rFonts w:hint="eastAsia" w:ascii="仿宋_GB2312" w:eastAsia="仿宋_GB2312"/>
          <w:sz w:val="32"/>
          <w:szCs w:val="32"/>
        </w:rPr>
        <w:t>专项调解工作补贴申请表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eastAsia="zh-CN"/>
        </w:rPr>
        <w:instrText xml:space="preserve"> HYPERLINK "http://www.dg.gov.cn/dgcpz/attachment/0/44/44676/3465917.doc" \t "http://www.dg.gov.cn/dgcpz/gkmlpt/content/3/3465/_blank" </w:instrTex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eastAsia="zh-CN"/>
        </w:rPr>
        <w:t>附件3.人民调解员岗位目标考核细则</w: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3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兰溪市水亭畲族乡人民政府</w:t>
      </w:r>
    </w:p>
    <w:p>
      <w:pPr>
        <w:wordWrap w:val="0"/>
        <w:spacing w:line="480" w:lineRule="exact"/>
        <w:ind w:firstLine="42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line id="直线 20" o:spid="_x0000_s1027" o:spt="20" style="position:absolute;left:0pt;margin-left:0.8pt;margin-top:4.5pt;height:0.05pt;width:414pt;z-index:251659264;mso-width-relative:page;mso-height-relative:page;" filled="f" stroked="t" coordsize="21600,21600" o:gfxdata="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LNXKh0gAAAAUBAAAPAAAAAAAA&#10;AAEAIAAAACIAAABkcnMvZG93bnJldi54bWxQSwECFAAUAAAACACHTuJAj9fgjN8BAADTAwAADgAA&#10;AAAAAAABACAAAAAhAQAAZHJzL2Uyb0RvYy54bWxQSwUGAAAAAAYABgBZAQAAcgUAAAAA&#10;">
            <v:path arrowok="t"/>
            <v:fill on="f" focussize="0,0"/>
            <v:stroke weight="1pt"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主送：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各行政村、相关企业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40" w:lineRule="exact"/>
        <w:ind w:firstLine="280" w:firstLineChars="100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兰溪市司法局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600" w:lineRule="exac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8"/>
          <w:szCs w:val="28"/>
        </w:rPr>
        <w:pict>
          <v:line id="直线 21" o:spid="_x0000_s1026" o:spt="20" style="position:absolute;left:0pt;margin-left:0.8pt;margin-top:32.45pt;height:0.05pt;width:414pt;z-index:251661312;mso-width-relative:page;mso-height-relative:page;" filled="f" stroked="t" coordsize="21600,21600" o:gfxdata="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nC2jDVAAAABwEAAA8A&#10;AAAAAAAAAQAgAAAAIgAAAGRycy9kb3ducmV2LnhtbFBLAQIUABQAAAAIAIdO4kAOOQgr4QEAANMD&#10;AAAOAAAAAAAAAAEAIAAAACQBAABkcnMvZTJvRG9jLnhtbFBLBQYAAAAABgAGAFkBAAB3BQAAAAA=&#10;">
            <v:path arrowok="t"/>
            <v:fill on="f" focussize="0,0"/>
            <v:stroke weight="1pt" color="#000000" joinstyle="round"/>
            <v:imagedata o:title=""/>
            <o:lock v:ext="edit" aspectratio="f"/>
          </v:line>
        </w:pict>
      </w:r>
      <w:r>
        <w:rPr>
          <w:rFonts w:ascii="仿宋_GB2312" w:hAnsi="仿宋_GB2312" w:eastAsia="仿宋_GB2312" w:cs="仿宋_GB2312"/>
          <w:sz w:val="28"/>
          <w:szCs w:val="28"/>
        </w:rPr>
        <w:pict>
          <v:line id="Line 8" o:spid="_x0000_s1028" o:spt="20" style="position:absolute;left:0pt;margin-left:0.55pt;margin-top:3pt;height:0.05pt;width:414pt;z-index:251660288;mso-width-relative:page;mso-height-relative:page;" filled="f" stroked="t" coordsize="21600,21600" o:gfxdata="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M+cPjSAAAABQEAAA8AAAAAAAAAAQAgAAAAIgAAAGRy&#10;cy9kb3ducmV2LnhtbFBLAQIUABQAAAAIAIdO4kDjKrGI0gEAANADAAAOAAAAAAAAAAEAIAAAACEB&#10;AABkcnMvZTJvRG9jLnhtbFBLBQYAAAAABgAGAFkBAABlBQAAAAA=&#10;">
            <v:path arrowok="t"/>
            <v:fill on="f" focussize="0,0"/>
            <v:stroke weight="1pt"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兰溪市水亭畲族乡党政综合办公室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水亭畲族乡人民调解工作“以奖代补、以案定补”发放表</w:t>
      </w:r>
    </w:p>
    <w:tbl>
      <w:tblPr>
        <w:tblStyle w:val="11"/>
        <w:tblW w:w="10365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720"/>
        <w:gridCol w:w="690"/>
        <w:gridCol w:w="765"/>
        <w:gridCol w:w="597"/>
        <w:gridCol w:w="850"/>
        <w:gridCol w:w="851"/>
        <w:gridCol w:w="850"/>
        <w:gridCol w:w="851"/>
        <w:gridCol w:w="709"/>
        <w:gridCol w:w="709"/>
        <w:gridCol w:w="709"/>
        <w:gridCol w:w="714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435" w:type="dxa"/>
            <w:vMerge w:val="restart"/>
          </w:tcPr>
          <w:p>
            <w:pPr>
              <w:spacing w:after="0"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after="0"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after="0"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调委会名称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调解员姓名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双方当事人姓名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纠纷类型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调处纠纷数（件）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补助金额（元）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开户行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银行账号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调解员手机号码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35" w:type="dxa"/>
            <w:vMerge w:val="continue"/>
          </w:tcPr>
          <w:p>
            <w:pPr>
              <w:spacing w:after="0"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重大疑难纠纷（1000元/件）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疑难复杂纠纷（500元/件）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一般复杂纠纷（200元/件）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简易纠纷（100元/件）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口头协议（30元/件）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6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597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合计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714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黑体" w:cs="Times New Roman"/>
                <w:sz w:val="31"/>
                <w:szCs w:val="31"/>
              </w:rPr>
            </w:pPr>
          </w:p>
        </w:tc>
      </w:tr>
    </w:tbl>
    <w:p>
      <w:pPr>
        <w:jc w:val="left"/>
        <w:rPr>
          <w:rStyle w:val="1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制表：             稽核：             分管领导：                 审批：</w:t>
      </w:r>
    </w:p>
    <w:p>
      <w:pPr>
        <w:jc w:val="left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1"/>
          <w:szCs w:val="31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jc w:val="left"/>
        <w:rPr>
          <w:rFonts w:hint="default" w:ascii="Times New Roman" w:hAnsi="Times New Roman" w:cs="Times New Roman"/>
          <w:kern w:val="2"/>
          <w:sz w:val="21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z w:val="31"/>
          <w:szCs w:val="31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1"/>
          <w:szCs w:val="31"/>
          <w:lang w:val="en-US" w:eastAsia="zh-CN"/>
        </w:rPr>
        <w:t>2</w:t>
      </w:r>
    </w:p>
    <w:tbl>
      <w:tblPr>
        <w:tblStyle w:val="11"/>
        <w:tblpPr w:leftFromText="180" w:rightFromText="180" w:vertAnchor="text" w:horzAnchor="page" w:tblpXSpec="center" w:tblpY="1241"/>
        <w:tblOverlap w:val="never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6"/>
        <w:gridCol w:w="2858"/>
        <w:gridCol w:w="284"/>
        <w:gridCol w:w="850"/>
        <w:gridCol w:w="410"/>
        <w:gridCol w:w="3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eastAsia="zh-CN" w:bidi="ar-SA"/>
              </w:rPr>
              <w:t>申请人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  <w:t>工作单位</w:t>
            </w:r>
          </w:p>
        </w:tc>
        <w:tc>
          <w:tcPr>
            <w:tcW w:w="3417" w:type="dxa"/>
            <w:noWrap w:val="0"/>
            <w:vAlign w:val="top"/>
          </w:tcPr>
          <w:p>
            <w:pPr>
              <w:spacing w:after="0" w:line="480" w:lineRule="exact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  <w:t>调解时间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  <w:t>调解地点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9322" w:type="dxa"/>
            <w:gridSpan w:val="7"/>
            <w:noWrap w:val="0"/>
            <w:vAlign w:val="top"/>
          </w:tcPr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  <w:t>（简要概述参与调解案由、调解过程、调解结果等基本情况）</w:t>
            </w: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</w:pPr>
          </w:p>
          <w:p>
            <w:pPr>
              <w:spacing w:after="0" w:line="560" w:lineRule="exact"/>
              <w:ind w:firstLine="5520" w:firstLineChars="2300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eastAsia="zh-CN" w:bidi="ar-SA"/>
              </w:rPr>
              <w:t>经</w:t>
            </w:r>
            <w:r>
              <w:rPr>
                <w:rFonts w:hint="default" w:ascii="Times New Roman" w:hAnsi="Times New Roman" w:cs="Times New Roman"/>
                <w:kern w:val="2"/>
                <w:sz w:val="21"/>
                <w:lang w:eastAsia="zh-CN" w:bidi="ar-SA"/>
              </w:rPr>
              <w:t>办人员意见</w:t>
            </w:r>
          </w:p>
        </w:tc>
        <w:tc>
          <w:tcPr>
            <w:tcW w:w="3544" w:type="dxa"/>
            <w:gridSpan w:val="2"/>
            <w:noWrap w:val="0"/>
            <w:vAlign w:val="top"/>
          </w:tcPr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经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办人（签名）：</w:t>
            </w:r>
          </w:p>
          <w:p>
            <w:pPr>
              <w:spacing w:after="0" w:line="560" w:lineRule="exact"/>
              <w:jc w:val="righ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 xml:space="preserve">       年  月  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分管</w:t>
            </w:r>
          </w:p>
          <w:p>
            <w:pPr>
              <w:spacing w:after="0"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领导</w:t>
            </w:r>
          </w:p>
          <w:p>
            <w:pPr>
              <w:spacing w:after="0" w:line="56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意见</w:t>
            </w:r>
          </w:p>
        </w:tc>
        <w:tc>
          <w:tcPr>
            <w:tcW w:w="3827" w:type="dxa"/>
            <w:gridSpan w:val="2"/>
            <w:noWrap w:val="0"/>
            <w:vAlign w:val="top"/>
          </w:tcPr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after="0" w:line="560" w:lineRule="exac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after="0" w:line="560" w:lineRule="exact"/>
              <w:ind w:firstLine="210" w:firstLineChars="100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审核人（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签名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>）：</w:t>
            </w:r>
          </w:p>
          <w:p>
            <w:pPr>
              <w:spacing w:after="0" w:line="560" w:lineRule="exact"/>
              <w:jc w:val="right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eastAsia="zh-CN" w:bidi="ar-SA"/>
              </w:rPr>
              <w:t xml:space="preserve">      年  月  日</w:t>
            </w: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水亭畲族乡</w:t>
      </w:r>
      <w:r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专项调解工作补贴申请表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jc w:val="left"/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附件3　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3" w:firstLineChars="20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人民调解员岗位目标考核细则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10"/>
        <w:tblW w:w="8625" w:type="dxa"/>
        <w:tblInd w:w="-1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0"/>
        <w:gridCol w:w="1155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right="0" w:firstLine="300" w:firstLineChars="10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考核内容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分值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评分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1、按时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参加各类会议、业务学习，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矛盾纠纷排查必须做到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月一排查，能及时把握纠纷动态信息，尤其是重大矛盾纠纷及社会热点问题能及时发现苗头，得到有效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稳控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，上报情况及时。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</w:trPr>
        <w:tc>
          <w:tcPr>
            <w:tcW w:w="6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、调解员受理纠纷后要及时调解，最大限度地把各类矛盾纠纷化解在基层，做到“小事不出村、大事不出乡、矛盾不上交”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，无因调解不及时和调解不当而引起的“民转刑”、“非正常死亡”、群体性上访和越级上访案件。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6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、人民调解案卷全部按照司法部统一格式制作，内容齐全，一案一卷，并装订成册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口头协议纠纷填写《人民调解口头协议登记表》，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各村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每月调解案件不少于1件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，每增加一件加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。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6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、依法公正调解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自觉遵守职业道德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，严守工作纪律，严禁发生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索取、收受当事人财物等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违法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违纪行为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2" w:hRule="atLeast"/>
        </w:trPr>
        <w:tc>
          <w:tcPr>
            <w:tcW w:w="6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eastAsia="zh-CN"/>
              </w:rPr>
              <w:t>完成乡党委政府交办的其他工作。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autoSpaceDE w:val="0"/>
        <w:autoSpaceDN w:val="0"/>
        <w:adjustRightInd w:val="0"/>
        <w:spacing w:after="100" w:afterAutospacing="1" w:line="6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66BA"/>
    <w:rsid w:val="00037776"/>
    <w:rsid w:val="0004249E"/>
    <w:rsid w:val="00051A5F"/>
    <w:rsid w:val="000A0FFC"/>
    <w:rsid w:val="000A6255"/>
    <w:rsid w:val="0013225A"/>
    <w:rsid w:val="00132C9C"/>
    <w:rsid w:val="001367E4"/>
    <w:rsid w:val="00145772"/>
    <w:rsid w:val="003166E7"/>
    <w:rsid w:val="003B5684"/>
    <w:rsid w:val="003D55CB"/>
    <w:rsid w:val="0041659E"/>
    <w:rsid w:val="00472A6F"/>
    <w:rsid w:val="00473577"/>
    <w:rsid w:val="0049748E"/>
    <w:rsid w:val="004A2F8B"/>
    <w:rsid w:val="004D1DB5"/>
    <w:rsid w:val="0051128E"/>
    <w:rsid w:val="0052719A"/>
    <w:rsid w:val="005533FD"/>
    <w:rsid w:val="00555EDC"/>
    <w:rsid w:val="005A6C03"/>
    <w:rsid w:val="005B52B3"/>
    <w:rsid w:val="005D100A"/>
    <w:rsid w:val="005E5B4D"/>
    <w:rsid w:val="00616042"/>
    <w:rsid w:val="00625A36"/>
    <w:rsid w:val="006552B5"/>
    <w:rsid w:val="00696F94"/>
    <w:rsid w:val="006A4428"/>
    <w:rsid w:val="006D202B"/>
    <w:rsid w:val="006D791C"/>
    <w:rsid w:val="006E66BA"/>
    <w:rsid w:val="006E7C6A"/>
    <w:rsid w:val="006F26DE"/>
    <w:rsid w:val="007165F4"/>
    <w:rsid w:val="00717355"/>
    <w:rsid w:val="00725D74"/>
    <w:rsid w:val="00772F46"/>
    <w:rsid w:val="00773947"/>
    <w:rsid w:val="007934EC"/>
    <w:rsid w:val="007B19DF"/>
    <w:rsid w:val="007C271C"/>
    <w:rsid w:val="008A53CA"/>
    <w:rsid w:val="009132CC"/>
    <w:rsid w:val="0093457F"/>
    <w:rsid w:val="00940DE8"/>
    <w:rsid w:val="0096407F"/>
    <w:rsid w:val="009B131E"/>
    <w:rsid w:val="009C4CF9"/>
    <w:rsid w:val="009D7274"/>
    <w:rsid w:val="009F21A3"/>
    <w:rsid w:val="009F49E9"/>
    <w:rsid w:val="00A41443"/>
    <w:rsid w:val="00AD2C98"/>
    <w:rsid w:val="00B03DD8"/>
    <w:rsid w:val="00B2531B"/>
    <w:rsid w:val="00B65C2D"/>
    <w:rsid w:val="00BB678A"/>
    <w:rsid w:val="00BC4580"/>
    <w:rsid w:val="00C01926"/>
    <w:rsid w:val="00C125FF"/>
    <w:rsid w:val="00D46AA4"/>
    <w:rsid w:val="00DF5398"/>
    <w:rsid w:val="00E439ED"/>
    <w:rsid w:val="00E44ED5"/>
    <w:rsid w:val="00E47695"/>
    <w:rsid w:val="00E56185"/>
    <w:rsid w:val="00EA11A1"/>
    <w:rsid w:val="00EE4D37"/>
    <w:rsid w:val="00EF0178"/>
    <w:rsid w:val="00F85EB9"/>
    <w:rsid w:val="00F875CC"/>
    <w:rsid w:val="00FD6624"/>
    <w:rsid w:val="00FF069E"/>
    <w:rsid w:val="01B17B37"/>
    <w:rsid w:val="06814D59"/>
    <w:rsid w:val="0FDD21E5"/>
    <w:rsid w:val="1AC751D8"/>
    <w:rsid w:val="2A6638DA"/>
    <w:rsid w:val="2BDF7A14"/>
    <w:rsid w:val="54CB0F37"/>
    <w:rsid w:val="625A0522"/>
    <w:rsid w:val="6D2D42AA"/>
    <w:rsid w:val="7BD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21"/>
        <o:r id="V:Rule2" type="connector" idref="#直线 20"/>
        <o:r id="V:Rule3" type="connector" idref="#Line 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60" w:lineRule="exact"/>
      <w:ind w:left="1258" w:leftChars="160" w:hanging="922" w:hangingChars="288"/>
    </w:pPr>
    <w:rPr>
      <w:rFonts w:ascii="仿宋_GB2312" w:eastAsia="仿宋_GB2312"/>
      <w:sz w:val="32"/>
    </w:rPr>
  </w:style>
  <w:style w:type="paragraph" w:styleId="6">
    <w:name w:val="Balloon Text"/>
    <w:basedOn w:val="1"/>
    <w:link w:val="19"/>
    <w:semiHidden/>
    <w:unhideWhenUsed/>
    <w:uiPriority w:val="0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1">
    <w:name w:val="Table Grid"/>
    <w:basedOn w:val="10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8"/>
    <w:semiHidden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semiHidden/>
    <w:qFormat/>
    <w:uiPriority w:val="99"/>
  </w:style>
  <w:style w:type="character" w:customStyle="1" w:styleId="19">
    <w:name w:val="批注框文本 Char"/>
    <w:basedOn w:val="12"/>
    <w:link w:val="6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2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2022-09-28T06:44:00Z</dcterms:created>
  <dc:creator>匿名用户</dc:creator>
  <cp:lastModifiedBy>匿名用户</cp:lastModifiedBy>
  <cp:lastPrinted>2023-01-04T06:59:17Z</cp:lastPrinted>
  <dcterms:modified xsi:type="dcterms:W3CDTF">2023-01-04T06:59:32Z</dcterms:modified>
  <dc:title>水政〔2020〕24号                         签发人：钟秀明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3D03C087B75F4633BF25DA0C4450E5BB</vt:lpwstr>
  </property>
</Properties>
</file>