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DC04" w14:textId="3EF10342" w:rsidR="00F0566E" w:rsidRDefault="00000000">
      <w:pPr>
        <w:widowControl/>
        <w:spacing w:line="324" w:lineRule="auto"/>
        <w:jc w:val="center"/>
        <w:rPr>
          <w:rFonts w:ascii="黑体" w:eastAsia="黑体" w:hAnsi="宋体" w:cs="黑体"/>
          <w:b/>
          <w:color w:val="000000"/>
          <w:sz w:val="44"/>
          <w:szCs w:val="44"/>
          <w:highlight w:val="white"/>
        </w:rPr>
      </w:pPr>
      <w:r>
        <w:rPr>
          <w:rFonts w:ascii="黑体" w:eastAsia="黑体" w:hAnsi="宋体" w:cs="黑体" w:hint="eastAsia"/>
          <w:b/>
          <w:spacing w:val="15"/>
          <w:sz w:val="44"/>
          <w:szCs w:val="44"/>
          <w:highlight w:val="white"/>
          <w:lang w:bidi="ar"/>
        </w:rPr>
        <w:t>兰溪市市场监督管</w:t>
      </w:r>
      <w:r w:rsidR="002148A1">
        <w:rPr>
          <w:rFonts w:ascii="黑体" w:eastAsia="黑体" w:hAnsi="宋体" w:cs="黑体" w:hint="eastAsia"/>
          <w:b/>
          <w:spacing w:val="15"/>
          <w:sz w:val="44"/>
          <w:szCs w:val="44"/>
          <w:highlight w:val="white"/>
          <w:lang w:bidi="ar"/>
        </w:rPr>
        <w:t>理</w:t>
      </w:r>
      <w:r>
        <w:rPr>
          <w:rFonts w:ascii="黑体" w:eastAsia="黑体" w:hAnsi="宋体" w:cs="黑体" w:hint="eastAsia"/>
          <w:b/>
          <w:spacing w:val="15"/>
          <w:sz w:val="44"/>
          <w:szCs w:val="44"/>
          <w:highlight w:val="white"/>
          <w:lang w:bidi="ar"/>
        </w:rPr>
        <w:t>局</w:t>
      </w:r>
      <w:r>
        <w:rPr>
          <w:rFonts w:ascii="黑体" w:eastAsia="黑体" w:hAnsi="宋体" w:cs="黑体" w:hint="eastAsia"/>
          <w:b/>
          <w:color w:val="000000"/>
          <w:sz w:val="44"/>
          <w:szCs w:val="44"/>
          <w:highlight w:val="white"/>
          <w:lang w:bidi="ar"/>
        </w:rPr>
        <w:t>2020年度部门决算目录</w:t>
      </w:r>
    </w:p>
    <w:p w14:paraId="740C5EB1" w14:textId="77777777" w:rsidR="00F0566E" w:rsidRDefault="00000000">
      <w:pPr>
        <w:widowControl/>
        <w:spacing w:line="360" w:lineRule="auto"/>
        <w:jc w:val="left"/>
        <w:rPr>
          <w:rFonts w:ascii="等线" w:eastAsia="等线" w:hAnsi="等线" w:cs="等线"/>
          <w:sz w:val="28"/>
          <w:szCs w:val="28"/>
        </w:rPr>
      </w:pPr>
      <w:r>
        <w:rPr>
          <w:rFonts w:ascii="等线" w:eastAsia="等线" w:hAnsi="等线" w:cs="等线" w:hint="eastAsia"/>
          <w:color w:val="000000"/>
          <w:sz w:val="28"/>
          <w:szCs w:val="28"/>
          <w:highlight w:val="white"/>
          <w:lang w:bidi="ar"/>
        </w:rPr>
        <w:t>一、概况..................................................</w:t>
      </w:r>
      <w:proofErr w:type="gramStart"/>
      <w:r>
        <w:rPr>
          <w:rFonts w:ascii="等线" w:eastAsia="等线" w:hAnsi="等线" w:cs="等线" w:hint="eastAsia"/>
          <w:sz w:val="28"/>
          <w:szCs w:val="28"/>
          <w:lang w:bidi="ar"/>
        </w:rPr>
        <w:t>( 1</w:t>
      </w:r>
      <w:proofErr w:type="gramEnd"/>
      <w:r>
        <w:rPr>
          <w:rFonts w:ascii="等线" w:eastAsia="等线" w:hAnsi="等线" w:cs="等线" w:hint="eastAsia"/>
          <w:sz w:val="28"/>
          <w:szCs w:val="28"/>
          <w:lang w:bidi="ar"/>
        </w:rPr>
        <w:t xml:space="preserve"> )</w:t>
      </w:r>
    </w:p>
    <w:p w14:paraId="199992F5" w14:textId="77777777" w:rsidR="00F0566E" w:rsidRDefault="00000000">
      <w:pPr>
        <w:widowControl/>
        <w:spacing w:line="360" w:lineRule="auto"/>
        <w:ind w:left="420"/>
        <w:jc w:val="left"/>
        <w:rPr>
          <w:rFonts w:ascii="等线" w:eastAsia="等线" w:hAnsi="等线" w:cs="等线"/>
          <w:sz w:val="28"/>
          <w:szCs w:val="28"/>
        </w:rPr>
      </w:pPr>
      <w:r>
        <w:rPr>
          <w:rFonts w:ascii="等线" w:eastAsia="等线" w:hAnsi="等线" w:cs="等线" w:hint="eastAsia"/>
          <w:color w:val="000000"/>
          <w:sz w:val="28"/>
          <w:szCs w:val="28"/>
          <w:highlight w:val="white"/>
          <w:lang w:bidi="ar"/>
        </w:rPr>
        <w:t>（一）部门职责.................................</w:t>
      </w:r>
      <w:proofErr w:type="gramStart"/>
      <w:r>
        <w:rPr>
          <w:rFonts w:ascii="等线" w:eastAsia="等线" w:hAnsi="等线" w:cs="等线" w:hint="eastAsia"/>
          <w:sz w:val="28"/>
          <w:szCs w:val="28"/>
          <w:lang w:bidi="ar"/>
        </w:rPr>
        <w:t>( 1</w:t>
      </w:r>
      <w:proofErr w:type="gramEnd"/>
      <w:r>
        <w:rPr>
          <w:rFonts w:ascii="等线" w:eastAsia="等线" w:hAnsi="等线" w:cs="等线" w:hint="eastAsia"/>
          <w:sz w:val="28"/>
          <w:szCs w:val="28"/>
          <w:lang w:bidi="ar"/>
        </w:rPr>
        <w:t xml:space="preserve"> )</w:t>
      </w:r>
    </w:p>
    <w:p w14:paraId="33A76EC9" w14:textId="77777777" w:rsidR="00F0566E" w:rsidRDefault="00000000">
      <w:pPr>
        <w:widowControl/>
        <w:spacing w:line="360" w:lineRule="auto"/>
        <w:ind w:left="420"/>
        <w:jc w:val="left"/>
        <w:rPr>
          <w:rFonts w:ascii="等线" w:eastAsia="等线" w:hAnsi="等线" w:cs="等线"/>
          <w:sz w:val="28"/>
          <w:szCs w:val="28"/>
        </w:rPr>
      </w:pPr>
      <w:r>
        <w:rPr>
          <w:rFonts w:ascii="等线" w:eastAsia="等线" w:hAnsi="等线" w:cs="等线" w:hint="eastAsia"/>
          <w:color w:val="000000"/>
          <w:sz w:val="28"/>
          <w:szCs w:val="28"/>
          <w:highlight w:val="white"/>
          <w:lang w:bidi="ar"/>
        </w:rPr>
        <w:t>（二）机构设置.........................................</w:t>
      </w:r>
      <w:proofErr w:type="gramStart"/>
      <w:r>
        <w:rPr>
          <w:rFonts w:ascii="等线" w:eastAsia="等线" w:hAnsi="等线" w:cs="等线" w:hint="eastAsia"/>
          <w:sz w:val="28"/>
          <w:szCs w:val="28"/>
          <w:lang w:bidi="ar"/>
        </w:rPr>
        <w:t>( 4</w:t>
      </w:r>
      <w:proofErr w:type="gramEnd"/>
      <w:r>
        <w:rPr>
          <w:rFonts w:ascii="等线" w:eastAsia="等线" w:hAnsi="等线" w:cs="等线" w:hint="eastAsia"/>
          <w:sz w:val="28"/>
          <w:szCs w:val="28"/>
          <w:lang w:bidi="ar"/>
        </w:rPr>
        <w:t xml:space="preserve"> )</w:t>
      </w:r>
    </w:p>
    <w:p w14:paraId="3951EE2F" w14:textId="77777777" w:rsidR="00F0566E" w:rsidRDefault="00000000">
      <w:pPr>
        <w:widowControl/>
        <w:spacing w:line="360" w:lineRule="auto"/>
        <w:jc w:val="left"/>
        <w:rPr>
          <w:rFonts w:ascii="等线" w:eastAsia="等线" w:hAnsi="等线" w:cs="等线"/>
          <w:sz w:val="28"/>
          <w:szCs w:val="28"/>
        </w:rPr>
      </w:pPr>
      <w:r>
        <w:rPr>
          <w:rFonts w:ascii="等线" w:eastAsia="等线" w:hAnsi="等线" w:cs="等线" w:hint="eastAsia"/>
          <w:sz w:val="28"/>
          <w:szCs w:val="28"/>
          <w:lang w:bidi="ar"/>
        </w:rPr>
        <w:t>二、</w:t>
      </w:r>
      <w:r>
        <w:rPr>
          <w:rFonts w:ascii="等线" w:eastAsia="等线" w:hAnsi="等线" w:cs="等线" w:hint="eastAsia"/>
          <w:color w:val="000000"/>
          <w:sz w:val="28"/>
          <w:szCs w:val="28"/>
          <w:highlight w:val="white"/>
          <w:lang w:bidi="ar"/>
        </w:rPr>
        <w:t>2020年度部门决算公表..........................</w:t>
      </w:r>
      <w:proofErr w:type="gramStart"/>
      <w:r>
        <w:rPr>
          <w:rFonts w:ascii="等线" w:eastAsia="等线" w:hAnsi="等线" w:cs="等线" w:hint="eastAsia"/>
          <w:sz w:val="28"/>
          <w:szCs w:val="28"/>
          <w:lang w:bidi="ar"/>
        </w:rPr>
        <w:t>( 5</w:t>
      </w:r>
      <w:proofErr w:type="gramEnd"/>
      <w:r>
        <w:rPr>
          <w:rFonts w:ascii="等线" w:eastAsia="等线" w:hAnsi="等线" w:cs="等线" w:hint="eastAsia"/>
          <w:sz w:val="28"/>
          <w:szCs w:val="28"/>
          <w:lang w:bidi="ar"/>
        </w:rPr>
        <w:t xml:space="preserve"> )</w:t>
      </w:r>
    </w:p>
    <w:p w14:paraId="172B60C3" w14:textId="77777777" w:rsidR="00F0566E" w:rsidRDefault="00000000">
      <w:pPr>
        <w:widowControl/>
        <w:spacing w:line="360" w:lineRule="auto"/>
        <w:jc w:val="left"/>
        <w:rPr>
          <w:rFonts w:ascii="等线" w:eastAsia="等线" w:hAnsi="等线" w:cs="等线"/>
          <w:sz w:val="28"/>
          <w:szCs w:val="28"/>
        </w:rPr>
      </w:pPr>
      <w:r>
        <w:rPr>
          <w:rFonts w:ascii="等线" w:eastAsia="等线" w:hAnsi="等线" w:cs="等线" w:hint="eastAsia"/>
          <w:sz w:val="28"/>
          <w:szCs w:val="28"/>
          <w:highlight w:val="white"/>
          <w:lang w:bidi="ar"/>
        </w:rPr>
        <w:t>三、</w:t>
      </w:r>
      <w:r>
        <w:rPr>
          <w:rFonts w:ascii="等线" w:eastAsia="等线" w:hAnsi="等线" w:cs="等线" w:hint="eastAsia"/>
          <w:color w:val="000000"/>
          <w:sz w:val="28"/>
          <w:szCs w:val="28"/>
          <w:highlight w:val="white"/>
          <w:lang w:bidi="ar"/>
        </w:rPr>
        <w:t>2020年度部门决算情况明........................</w:t>
      </w:r>
      <w:proofErr w:type="gramStart"/>
      <w:r>
        <w:rPr>
          <w:rFonts w:ascii="等线" w:eastAsia="等线" w:hAnsi="等线" w:cs="等线" w:hint="eastAsia"/>
          <w:sz w:val="28"/>
          <w:szCs w:val="28"/>
          <w:lang w:bidi="ar"/>
        </w:rPr>
        <w:t>( 5</w:t>
      </w:r>
      <w:proofErr w:type="gramEnd"/>
      <w:r>
        <w:rPr>
          <w:rFonts w:ascii="等线" w:eastAsia="等线" w:hAnsi="等线" w:cs="等线" w:hint="eastAsia"/>
          <w:sz w:val="28"/>
          <w:szCs w:val="28"/>
          <w:lang w:bidi="ar"/>
        </w:rPr>
        <w:t xml:space="preserve"> )</w:t>
      </w:r>
    </w:p>
    <w:p w14:paraId="762BCA97" w14:textId="77777777" w:rsidR="00F0566E" w:rsidRDefault="00000000">
      <w:pPr>
        <w:widowControl/>
        <w:spacing w:line="360" w:lineRule="auto"/>
        <w:ind w:left="420"/>
        <w:jc w:val="left"/>
        <w:rPr>
          <w:rFonts w:ascii="等线" w:eastAsia="等线" w:hAnsi="等线" w:cs="等线"/>
          <w:sz w:val="28"/>
          <w:szCs w:val="28"/>
        </w:rPr>
      </w:pPr>
      <w:r>
        <w:rPr>
          <w:rFonts w:ascii="等线" w:eastAsia="等线" w:hAnsi="等线" w:cs="等线" w:hint="eastAsia"/>
          <w:color w:val="000000"/>
          <w:sz w:val="28"/>
          <w:szCs w:val="28"/>
          <w:highlight w:val="white"/>
          <w:lang w:bidi="ar"/>
        </w:rPr>
        <w:t>（一）收入支出决算总体情况说明.........................</w:t>
      </w:r>
      <w:proofErr w:type="gramStart"/>
      <w:r>
        <w:rPr>
          <w:rFonts w:ascii="等线" w:eastAsia="等线" w:hAnsi="等线" w:cs="等线" w:hint="eastAsia"/>
          <w:sz w:val="28"/>
          <w:szCs w:val="28"/>
          <w:lang w:bidi="ar"/>
        </w:rPr>
        <w:t>( 5</w:t>
      </w:r>
      <w:proofErr w:type="gramEnd"/>
      <w:r>
        <w:rPr>
          <w:rFonts w:ascii="等线" w:eastAsia="等线" w:hAnsi="等线" w:cs="等线" w:hint="eastAsia"/>
          <w:sz w:val="28"/>
          <w:szCs w:val="28"/>
          <w:lang w:bidi="ar"/>
        </w:rPr>
        <w:t xml:space="preserve"> )</w:t>
      </w:r>
    </w:p>
    <w:p w14:paraId="0907F413" w14:textId="77777777" w:rsidR="00F0566E" w:rsidRDefault="00000000">
      <w:pPr>
        <w:widowControl/>
        <w:spacing w:line="360" w:lineRule="auto"/>
        <w:ind w:left="420"/>
        <w:jc w:val="left"/>
        <w:rPr>
          <w:rFonts w:ascii="等线" w:eastAsia="等线" w:hAnsi="等线" w:cs="等线"/>
          <w:sz w:val="28"/>
          <w:szCs w:val="28"/>
        </w:rPr>
      </w:pPr>
      <w:r>
        <w:rPr>
          <w:rFonts w:ascii="等线" w:eastAsia="等线" w:hAnsi="等线" w:cs="等线" w:hint="eastAsia"/>
          <w:color w:val="000000"/>
          <w:sz w:val="28"/>
          <w:szCs w:val="28"/>
          <w:highlight w:val="white"/>
          <w:lang w:bidi="ar"/>
        </w:rPr>
        <w:t>（二）收入决算情况说明.................................</w:t>
      </w:r>
      <w:proofErr w:type="gramStart"/>
      <w:r>
        <w:rPr>
          <w:rFonts w:ascii="等线" w:eastAsia="等线" w:hAnsi="等线" w:cs="等线" w:hint="eastAsia"/>
          <w:sz w:val="28"/>
          <w:szCs w:val="28"/>
          <w:lang w:bidi="ar"/>
        </w:rPr>
        <w:t>( 5</w:t>
      </w:r>
      <w:proofErr w:type="gramEnd"/>
      <w:r>
        <w:rPr>
          <w:rFonts w:ascii="等线" w:eastAsia="等线" w:hAnsi="等线" w:cs="等线" w:hint="eastAsia"/>
          <w:sz w:val="28"/>
          <w:szCs w:val="28"/>
          <w:lang w:bidi="ar"/>
        </w:rPr>
        <w:t xml:space="preserve"> )</w:t>
      </w:r>
    </w:p>
    <w:p w14:paraId="112B4210" w14:textId="77777777" w:rsidR="00F0566E" w:rsidRDefault="00000000">
      <w:pPr>
        <w:widowControl/>
        <w:spacing w:line="360" w:lineRule="auto"/>
        <w:ind w:left="420"/>
        <w:jc w:val="left"/>
        <w:rPr>
          <w:rFonts w:ascii="等线" w:eastAsia="等线" w:hAnsi="等线" w:cs="等线"/>
          <w:sz w:val="28"/>
          <w:szCs w:val="28"/>
        </w:rPr>
      </w:pPr>
      <w:r>
        <w:rPr>
          <w:rFonts w:ascii="等线" w:eastAsia="等线" w:hAnsi="等线" w:cs="等线" w:hint="eastAsia"/>
          <w:color w:val="000000"/>
          <w:sz w:val="28"/>
          <w:szCs w:val="28"/>
          <w:highlight w:val="white"/>
          <w:lang w:bidi="ar"/>
        </w:rPr>
        <w:t>（三）支出决算情况说明.................................</w:t>
      </w:r>
      <w:proofErr w:type="gramStart"/>
      <w:r>
        <w:rPr>
          <w:rFonts w:ascii="等线" w:eastAsia="等线" w:hAnsi="等线" w:cs="等线" w:hint="eastAsia"/>
          <w:sz w:val="28"/>
          <w:szCs w:val="28"/>
          <w:lang w:bidi="ar"/>
        </w:rPr>
        <w:t>( 6</w:t>
      </w:r>
      <w:proofErr w:type="gramEnd"/>
      <w:r>
        <w:rPr>
          <w:rFonts w:ascii="等线" w:eastAsia="等线" w:hAnsi="等线" w:cs="等线" w:hint="eastAsia"/>
          <w:sz w:val="28"/>
          <w:szCs w:val="28"/>
          <w:lang w:bidi="ar"/>
        </w:rPr>
        <w:t xml:space="preserve"> )</w:t>
      </w:r>
    </w:p>
    <w:p w14:paraId="43922C64" w14:textId="77777777" w:rsidR="00F0566E" w:rsidRDefault="00000000">
      <w:pPr>
        <w:widowControl/>
        <w:spacing w:line="360" w:lineRule="auto"/>
        <w:ind w:left="420"/>
        <w:jc w:val="left"/>
        <w:rPr>
          <w:rFonts w:ascii="等线" w:eastAsia="等线" w:hAnsi="等线" w:cs="等线"/>
          <w:sz w:val="28"/>
          <w:szCs w:val="28"/>
        </w:rPr>
      </w:pPr>
      <w:r>
        <w:rPr>
          <w:rFonts w:ascii="等线" w:eastAsia="等线" w:hAnsi="等线" w:cs="等线" w:hint="eastAsia"/>
          <w:color w:val="000000"/>
          <w:sz w:val="28"/>
          <w:szCs w:val="28"/>
          <w:highlight w:val="white"/>
          <w:lang w:bidi="ar"/>
        </w:rPr>
        <w:t>（四）财政拨款收入支出决算总体情况说明.................</w:t>
      </w:r>
      <w:proofErr w:type="gramStart"/>
      <w:r>
        <w:rPr>
          <w:rFonts w:ascii="等线" w:eastAsia="等线" w:hAnsi="等线" w:cs="等线" w:hint="eastAsia"/>
          <w:sz w:val="28"/>
          <w:szCs w:val="28"/>
          <w:lang w:bidi="ar"/>
        </w:rPr>
        <w:t>( 6</w:t>
      </w:r>
      <w:proofErr w:type="gramEnd"/>
      <w:r>
        <w:rPr>
          <w:rFonts w:ascii="等线" w:eastAsia="等线" w:hAnsi="等线" w:cs="等线" w:hint="eastAsia"/>
          <w:sz w:val="28"/>
          <w:szCs w:val="28"/>
          <w:lang w:bidi="ar"/>
        </w:rPr>
        <w:t xml:space="preserve"> )</w:t>
      </w:r>
    </w:p>
    <w:p w14:paraId="59BDC43B" w14:textId="77777777" w:rsidR="00F0566E" w:rsidRDefault="00000000">
      <w:pPr>
        <w:widowControl/>
        <w:spacing w:line="360" w:lineRule="auto"/>
        <w:ind w:left="420"/>
        <w:jc w:val="left"/>
        <w:rPr>
          <w:rFonts w:ascii="等线" w:eastAsia="等线" w:hAnsi="等线" w:cs="等线"/>
          <w:sz w:val="28"/>
          <w:szCs w:val="28"/>
        </w:rPr>
      </w:pPr>
      <w:r>
        <w:rPr>
          <w:rFonts w:ascii="等线" w:eastAsia="等线" w:hAnsi="等线" w:cs="等线" w:hint="eastAsia"/>
          <w:color w:val="000000"/>
          <w:sz w:val="28"/>
          <w:szCs w:val="28"/>
          <w:highlight w:val="white"/>
          <w:lang w:bidi="ar"/>
        </w:rPr>
        <w:t>（五）一般公共预算财政拨款支出决算情况说明.............</w:t>
      </w:r>
      <w:proofErr w:type="gramStart"/>
      <w:r>
        <w:rPr>
          <w:rFonts w:ascii="等线" w:eastAsia="等线" w:hAnsi="等线" w:cs="等线" w:hint="eastAsia"/>
          <w:sz w:val="28"/>
          <w:szCs w:val="28"/>
          <w:lang w:bidi="ar"/>
        </w:rPr>
        <w:t>( 6</w:t>
      </w:r>
      <w:proofErr w:type="gramEnd"/>
      <w:r>
        <w:rPr>
          <w:rFonts w:ascii="等线" w:eastAsia="等线" w:hAnsi="等线" w:cs="等线" w:hint="eastAsia"/>
          <w:sz w:val="28"/>
          <w:szCs w:val="28"/>
          <w:lang w:bidi="ar"/>
        </w:rPr>
        <w:t xml:space="preserve"> )</w:t>
      </w:r>
    </w:p>
    <w:p w14:paraId="601DE559" w14:textId="77777777" w:rsidR="00F0566E" w:rsidRDefault="00000000">
      <w:pPr>
        <w:widowControl/>
        <w:spacing w:line="360" w:lineRule="auto"/>
        <w:ind w:left="420"/>
        <w:jc w:val="left"/>
        <w:rPr>
          <w:rFonts w:ascii="等线" w:eastAsia="等线" w:hAnsi="等线" w:cs="等线"/>
          <w:sz w:val="28"/>
          <w:szCs w:val="28"/>
        </w:rPr>
      </w:pPr>
      <w:r>
        <w:rPr>
          <w:rFonts w:ascii="等线" w:eastAsia="等线" w:hAnsi="等线" w:cs="等线" w:hint="eastAsia"/>
          <w:color w:val="000000"/>
          <w:sz w:val="28"/>
          <w:szCs w:val="28"/>
          <w:highlight w:val="white"/>
          <w:lang w:bidi="ar"/>
        </w:rPr>
        <w:t>（六）一般公共预算财政拨款基本支出决算情况说明.........</w:t>
      </w:r>
      <w:proofErr w:type="gramStart"/>
      <w:r>
        <w:rPr>
          <w:rFonts w:ascii="等线" w:eastAsia="等线" w:hAnsi="等线" w:cs="等线" w:hint="eastAsia"/>
          <w:sz w:val="28"/>
          <w:szCs w:val="28"/>
          <w:lang w:bidi="ar"/>
        </w:rPr>
        <w:t>( 8</w:t>
      </w:r>
      <w:proofErr w:type="gramEnd"/>
      <w:r>
        <w:rPr>
          <w:rFonts w:ascii="等线" w:eastAsia="等线" w:hAnsi="等线" w:cs="等线" w:hint="eastAsia"/>
          <w:sz w:val="28"/>
          <w:szCs w:val="28"/>
          <w:lang w:bidi="ar"/>
        </w:rPr>
        <w:t xml:space="preserve"> )</w:t>
      </w:r>
    </w:p>
    <w:p w14:paraId="75F45FF8" w14:textId="77777777" w:rsidR="00F0566E" w:rsidRDefault="00000000">
      <w:pPr>
        <w:widowControl/>
        <w:spacing w:line="360" w:lineRule="auto"/>
        <w:ind w:left="420"/>
        <w:jc w:val="left"/>
        <w:rPr>
          <w:rFonts w:ascii="等线" w:eastAsia="等线" w:hAnsi="等线" w:cs="等线"/>
          <w:sz w:val="28"/>
          <w:szCs w:val="28"/>
        </w:rPr>
      </w:pPr>
      <w:r>
        <w:rPr>
          <w:rFonts w:ascii="等线" w:eastAsia="等线" w:hAnsi="等线" w:cs="等线" w:hint="eastAsia"/>
          <w:color w:val="000000"/>
          <w:sz w:val="28"/>
          <w:szCs w:val="28"/>
          <w:highlight w:val="white"/>
          <w:lang w:bidi="ar"/>
        </w:rPr>
        <w:t>（七）政府性基金预算财政拨款支出决算总体情况说明.......</w:t>
      </w:r>
      <w:proofErr w:type="gramStart"/>
      <w:r>
        <w:rPr>
          <w:rFonts w:ascii="等线" w:eastAsia="等线" w:hAnsi="等线" w:cs="等线" w:hint="eastAsia"/>
          <w:sz w:val="28"/>
          <w:szCs w:val="28"/>
          <w:lang w:bidi="ar"/>
        </w:rPr>
        <w:t>( 9</w:t>
      </w:r>
      <w:proofErr w:type="gramEnd"/>
      <w:r>
        <w:rPr>
          <w:rFonts w:ascii="等线" w:eastAsia="等线" w:hAnsi="等线" w:cs="等线" w:hint="eastAsia"/>
          <w:sz w:val="28"/>
          <w:szCs w:val="28"/>
          <w:lang w:bidi="ar"/>
        </w:rPr>
        <w:t xml:space="preserve"> )</w:t>
      </w:r>
    </w:p>
    <w:p w14:paraId="3B12A8BA" w14:textId="77777777" w:rsidR="00F0566E" w:rsidRDefault="00000000">
      <w:pPr>
        <w:widowControl/>
        <w:spacing w:line="360" w:lineRule="auto"/>
        <w:ind w:left="420"/>
        <w:jc w:val="left"/>
        <w:rPr>
          <w:rFonts w:ascii="等线" w:eastAsia="等线" w:hAnsi="等线" w:cs="等线"/>
          <w:color w:val="000000"/>
          <w:sz w:val="28"/>
          <w:szCs w:val="28"/>
          <w:highlight w:val="white"/>
        </w:rPr>
      </w:pPr>
      <w:r>
        <w:rPr>
          <w:rFonts w:ascii="等线" w:eastAsia="等线" w:hAnsi="等线" w:cs="等线" w:hint="eastAsia"/>
          <w:color w:val="000000"/>
          <w:sz w:val="28"/>
          <w:szCs w:val="28"/>
          <w:highlight w:val="white"/>
          <w:lang w:bidi="ar"/>
        </w:rPr>
        <w:t xml:space="preserve">（八）国有资本经营预算财政拨款支出决算总体情况说明...  </w:t>
      </w:r>
      <w:r>
        <w:rPr>
          <w:rFonts w:ascii="等线" w:eastAsia="等线" w:hAnsi="等线" w:cs="等线" w:hint="eastAsia"/>
          <w:sz w:val="28"/>
          <w:szCs w:val="28"/>
          <w:lang w:bidi="ar"/>
        </w:rPr>
        <w:t>(10)</w:t>
      </w:r>
    </w:p>
    <w:p w14:paraId="55DFB652" w14:textId="77777777" w:rsidR="00F0566E" w:rsidRDefault="00000000">
      <w:pPr>
        <w:widowControl/>
        <w:spacing w:line="360" w:lineRule="auto"/>
        <w:ind w:left="420"/>
        <w:jc w:val="left"/>
        <w:rPr>
          <w:rFonts w:ascii="等线" w:eastAsia="等线" w:hAnsi="等线" w:cs="等线"/>
          <w:color w:val="000000"/>
          <w:sz w:val="28"/>
          <w:szCs w:val="28"/>
          <w:highlight w:val="white"/>
        </w:rPr>
      </w:pPr>
      <w:r>
        <w:rPr>
          <w:rFonts w:ascii="等线" w:eastAsia="等线" w:hAnsi="等线" w:cs="等线" w:hint="eastAsia"/>
          <w:color w:val="000000"/>
          <w:sz w:val="28"/>
          <w:szCs w:val="28"/>
          <w:highlight w:val="white"/>
          <w:lang w:bidi="ar"/>
        </w:rPr>
        <w:t>（九）一般公共预算财政拨款“三公”经费支出决算情况说明.</w:t>
      </w:r>
      <w:r>
        <w:rPr>
          <w:rFonts w:ascii="等线" w:eastAsia="等线" w:hAnsi="等线" w:cs="等线" w:hint="eastAsia"/>
          <w:sz w:val="28"/>
          <w:szCs w:val="28"/>
          <w:lang w:bidi="ar"/>
        </w:rPr>
        <w:t>(10)</w:t>
      </w:r>
    </w:p>
    <w:p w14:paraId="02623DF6" w14:textId="77777777" w:rsidR="00F0566E" w:rsidRDefault="00000000">
      <w:pPr>
        <w:widowControl/>
        <w:spacing w:line="360" w:lineRule="auto"/>
        <w:ind w:left="420"/>
        <w:jc w:val="left"/>
        <w:rPr>
          <w:rFonts w:ascii="等线" w:eastAsia="等线" w:hAnsi="等线" w:cs="等线"/>
          <w:sz w:val="28"/>
          <w:szCs w:val="28"/>
        </w:rPr>
      </w:pPr>
      <w:r>
        <w:rPr>
          <w:rFonts w:ascii="等线" w:eastAsia="等线" w:hAnsi="等线" w:cs="等线" w:hint="eastAsia"/>
          <w:color w:val="000000"/>
          <w:sz w:val="28"/>
          <w:szCs w:val="28"/>
          <w:highlight w:val="white"/>
          <w:lang w:bidi="ar"/>
        </w:rPr>
        <w:t>（十）机关运行经费支出说明.............................</w:t>
      </w:r>
      <w:r>
        <w:rPr>
          <w:rFonts w:ascii="等线" w:eastAsia="等线" w:hAnsi="等线" w:cs="等线" w:hint="eastAsia"/>
          <w:sz w:val="28"/>
          <w:szCs w:val="28"/>
          <w:lang w:bidi="ar"/>
        </w:rPr>
        <w:t>(12)</w:t>
      </w:r>
    </w:p>
    <w:p w14:paraId="0DEFB580" w14:textId="77777777" w:rsidR="00F0566E" w:rsidRDefault="00000000">
      <w:pPr>
        <w:widowControl/>
        <w:spacing w:line="360" w:lineRule="auto"/>
        <w:ind w:left="420"/>
        <w:jc w:val="left"/>
        <w:rPr>
          <w:rFonts w:ascii="等线" w:eastAsia="等线" w:hAnsi="等线" w:cs="等线"/>
          <w:color w:val="000000"/>
          <w:sz w:val="28"/>
          <w:szCs w:val="28"/>
          <w:highlight w:val="white"/>
        </w:rPr>
      </w:pPr>
      <w:r>
        <w:rPr>
          <w:rFonts w:ascii="等线" w:eastAsia="等线" w:hAnsi="等线" w:cs="等线" w:hint="eastAsia"/>
          <w:color w:val="000000"/>
          <w:sz w:val="28"/>
          <w:szCs w:val="28"/>
          <w:highlight w:val="white"/>
          <w:lang w:bidi="ar"/>
        </w:rPr>
        <w:t>（十一）政府采购支出说明...............................</w:t>
      </w:r>
      <w:r>
        <w:rPr>
          <w:rFonts w:ascii="等线" w:eastAsia="等线" w:hAnsi="等线" w:cs="等线" w:hint="eastAsia"/>
          <w:sz w:val="28"/>
          <w:szCs w:val="28"/>
          <w:lang w:bidi="ar"/>
        </w:rPr>
        <w:t>(12)</w:t>
      </w:r>
    </w:p>
    <w:p w14:paraId="4012ACA5" w14:textId="77777777" w:rsidR="00F0566E" w:rsidRDefault="00000000">
      <w:pPr>
        <w:widowControl/>
        <w:spacing w:line="360" w:lineRule="auto"/>
        <w:ind w:left="420"/>
        <w:jc w:val="left"/>
        <w:rPr>
          <w:rFonts w:ascii="等线" w:eastAsia="等线" w:hAnsi="等线" w:cs="等线"/>
          <w:color w:val="000000"/>
          <w:sz w:val="28"/>
          <w:szCs w:val="28"/>
          <w:highlight w:val="white"/>
        </w:rPr>
      </w:pPr>
      <w:r>
        <w:rPr>
          <w:rFonts w:ascii="等线" w:eastAsia="等线" w:hAnsi="等线" w:cs="等线" w:hint="eastAsia"/>
          <w:color w:val="000000"/>
          <w:sz w:val="28"/>
          <w:szCs w:val="28"/>
          <w:highlight w:val="white"/>
          <w:lang w:bidi="ar"/>
        </w:rPr>
        <w:t>（十二）国有资产占有情况说明...........................</w:t>
      </w:r>
      <w:r>
        <w:rPr>
          <w:rFonts w:ascii="等线" w:eastAsia="等线" w:hAnsi="等线" w:cs="等线" w:hint="eastAsia"/>
          <w:sz w:val="28"/>
          <w:szCs w:val="28"/>
          <w:lang w:bidi="ar"/>
        </w:rPr>
        <w:t>(12)</w:t>
      </w:r>
    </w:p>
    <w:p w14:paraId="277608D0" w14:textId="77777777" w:rsidR="00F0566E" w:rsidRDefault="00000000">
      <w:pPr>
        <w:widowControl/>
        <w:spacing w:line="360" w:lineRule="auto"/>
        <w:ind w:left="420"/>
        <w:jc w:val="left"/>
        <w:rPr>
          <w:rFonts w:ascii="等线" w:eastAsia="等线" w:hAnsi="等线" w:cs="等线"/>
          <w:sz w:val="28"/>
          <w:szCs w:val="28"/>
        </w:rPr>
      </w:pPr>
      <w:r>
        <w:rPr>
          <w:rFonts w:ascii="等线" w:eastAsia="等线" w:hAnsi="等线" w:cs="等线" w:hint="eastAsia"/>
          <w:color w:val="000000"/>
          <w:sz w:val="28"/>
          <w:szCs w:val="28"/>
          <w:highlight w:val="white"/>
          <w:lang w:bidi="ar"/>
        </w:rPr>
        <w:t>（十三）预算绩效情况说明...............................</w:t>
      </w:r>
      <w:r>
        <w:rPr>
          <w:rFonts w:ascii="等线" w:eastAsia="等线" w:hAnsi="等线" w:cs="等线" w:hint="eastAsia"/>
          <w:sz w:val="28"/>
          <w:szCs w:val="28"/>
          <w:lang w:bidi="ar"/>
        </w:rPr>
        <w:t>(13)</w:t>
      </w:r>
    </w:p>
    <w:p w14:paraId="763CE95A" w14:textId="77777777" w:rsidR="00F0566E" w:rsidRDefault="00000000">
      <w:pPr>
        <w:widowControl/>
        <w:spacing w:line="360" w:lineRule="auto"/>
        <w:jc w:val="left"/>
        <w:rPr>
          <w:rFonts w:ascii="等线" w:eastAsia="等线" w:hAnsi="等线" w:cs="等线"/>
          <w:sz w:val="28"/>
          <w:szCs w:val="28"/>
        </w:rPr>
      </w:pPr>
      <w:r>
        <w:rPr>
          <w:rFonts w:ascii="等线" w:eastAsia="等线" w:hAnsi="等线" w:cs="等线" w:hint="eastAsia"/>
          <w:color w:val="000000"/>
          <w:sz w:val="28"/>
          <w:szCs w:val="28"/>
          <w:highlight w:val="white"/>
          <w:lang w:bidi="ar"/>
        </w:rPr>
        <w:lastRenderedPageBreak/>
        <w:t>四、名词解释..............................................</w:t>
      </w:r>
      <w:r>
        <w:rPr>
          <w:rFonts w:ascii="等线" w:eastAsia="等线" w:hAnsi="等线" w:cs="等线" w:hint="eastAsia"/>
          <w:sz w:val="28"/>
          <w:szCs w:val="28"/>
          <w:lang w:bidi="ar"/>
        </w:rPr>
        <w:t>(21)</w:t>
      </w:r>
    </w:p>
    <w:p w14:paraId="19D12113" w14:textId="77777777" w:rsidR="00F0566E" w:rsidRDefault="00F0566E">
      <w:pPr>
        <w:widowControl/>
        <w:spacing w:line="324" w:lineRule="auto"/>
        <w:rPr>
          <w:rFonts w:ascii="黑体" w:eastAsia="黑体" w:hAnsi="宋体" w:cs="黑体"/>
          <w:b/>
          <w:color w:val="000000"/>
          <w:highlight w:val="white"/>
        </w:rPr>
        <w:sectPr w:rsidR="00F0566E" w:rsidSect="0065713B">
          <w:pgSz w:w="12240" w:h="15840"/>
          <w:pgMar w:top="1587" w:right="1587" w:bottom="1587" w:left="1587" w:header="720" w:footer="720" w:gutter="0"/>
          <w:cols w:space="0"/>
          <w:docGrid w:type="lines" w:linePitch="312"/>
        </w:sectPr>
      </w:pPr>
    </w:p>
    <w:p w14:paraId="06EEA7A7" w14:textId="77777777" w:rsidR="00F0566E" w:rsidRDefault="00000000">
      <w:pPr>
        <w:widowControl/>
        <w:spacing w:line="560" w:lineRule="exact"/>
        <w:rPr>
          <w:rFonts w:ascii="黑体" w:eastAsia="黑体" w:hAnsi="宋体" w:cs="黑体"/>
          <w:b/>
          <w:color w:val="000000"/>
          <w:highlight w:val="white"/>
        </w:rPr>
      </w:pPr>
      <w:r>
        <w:rPr>
          <w:rFonts w:ascii="黑体" w:eastAsia="黑体" w:hAnsi="宋体" w:cs="黑体" w:hint="eastAsia"/>
          <w:b/>
          <w:color w:val="000000"/>
          <w:highlight w:val="white"/>
          <w:lang w:bidi="ar"/>
        </w:rPr>
        <w:lastRenderedPageBreak/>
        <w:t>一、概况</w:t>
      </w:r>
    </w:p>
    <w:p w14:paraId="0CA26BAA" w14:textId="77777777" w:rsidR="00F0566E" w:rsidRDefault="00000000">
      <w:pPr>
        <w:widowControl/>
        <w:spacing w:line="560" w:lineRule="exact"/>
        <w:ind w:firstLine="594"/>
        <w:rPr>
          <w:rFonts w:ascii="楷体" w:eastAsia="楷体" w:hAnsi="楷体" w:cs="楷体"/>
          <w:b/>
          <w:color w:val="000000"/>
          <w:highlight w:val="white"/>
        </w:rPr>
      </w:pPr>
      <w:r>
        <w:rPr>
          <w:rFonts w:ascii="楷体" w:eastAsia="楷体" w:hAnsi="楷体" w:cs="楷体" w:hint="eastAsia"/>
          <w:b/>
          <w:color w:val="000000"/>
          <w:highlight w:val="white"/>
          <w:lang w:bidi="ar"/>
        </w:rPr>
        <w:t>（一）部门职责</w:t>
      </w:r>
    </w:p>
    <w:p w14:paraId="4E0922DD" w14:textId="77777777" w:rsidR="00F0566E" w:rsidRDefault="00000000">
      <w:pPr>
        <w:widowControl/>
        <w:spacing w:line="560" w:lineRule="exact"/>
        <w:ind w:firstLineChars="200" w:firstLine="640"/>
        <w:rPr>
          <w:rFonts w:ascii="仿宋" w:eastAsia="仿宋" w:hAnsi="仿宋" w:cs="仿宋"/>
        </w:rPr>
      </w:pPr>
      <w:r>
        <w:rPr>
          <w:rFonts w:ascii="仿宋" w:eastAsia="仿宋" w:hAnsi="仿宋" w:cs="仿宋" w:hint="eastAsia"/>
          <w:lang w:bidi="ar"/>
        </w:rPr>
        <w:t>1.负责市场综合监督管理。组织实施国家有关市场监督管理法律法规，起草市场监督管理有关规范性文件和政策、标准。组织实施质量强市战略、食品安全战略、标准化战略和知识产权战略，拟订并组织实施有关规划，规范和维护市场秩序，营造诚实守信、公平竞争的市场环境。</w:t>
      </w:r>
    </w:p>
    <w:p w14:paraId="4F8B4469" w14:textId="77777777" w:rsidR="00F0566E" w:rsidRDefault="00000000">
      <w:pPr>
        <w:widowControl/>
        <w:spacing w:line="560" w:lineRule="exact"/>
        <w:ind w:firstLineChars="200" w:firstLine="640"/>
        <w:rPr>
          <w:rFonts w:ascii="仿宋" w:eastAsia="仿宋" w:hAnsi="仿宋" w:cs="仿宋"/>
        </w:rPr>
      </w:pPr>
      <w:r>
        <w:rPr>
          <w:rFonts w:ascii="仿宋" w:eastAsia="仿宋" w:hAnsi="仿宋" w:cs="仿宋" w:hint="eastAsia"/>
          <w:lang w:bidi="ar"/>
        </w:rPr>
        <w:t>2.负责市场主体统一登记注册。指导各类企业、农民专业合作社和从事经营活动的单位、个体工商户以及外国（地区）企业常驻代表机构等市场主体的登记注册工作，扶持个体、民营经济发展。</w:t>
      </w:r>
    </w:p>
    <w:p w14:paraId="2CCC5EF7" w14:textId="77777777" w:rsidR="00F0566E" w:rsidRDefault="00000000">
      <w:pPr>
        <w:widowControl/>
        <w:spacing w:line="560" w:lineRule="exact"/>
        <w:ind w:firstLineChars="200" w:firstLine="640"/>
        <w:rPr>
          <w:rFonts w:ascii="仿宋" w:eastAsia="仿宋" w:hAnsi="仿宋" w:cs="仿宋"/>
        </w:rPr>
      </w:pPr>
      <w:r>
        <w:rPr>
          <w:rFonts w:ascii="仿宋" w:eastAsia="仿宋" w:hAnsi="仿宋" w:cs="仿宋" w:hint="eastAsia"/>
          <w:lang w:bidi="ar"/>
        </w:rPr>
        <w:t>3.负责市场主体信息公示和共享机制建设。依法公示和共享有关信息，加强信用监管，推动市场主体信用体系建设。</w:t>
      </w:r>
    </w:p>
    <w:p w14:paraId="3763F602" w14:textId="77777777" w:rsidR="00F0566E" w:rsidRDefault="000000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0"/>
        <w:rPr>
          <w:rFonts w:ascii="仿宋" w:eastAsia="仿宋" w:hAnsi="仿宋" w:cs="仿宋"/>
          <w:sz w:val="32"/>
        </w:rPr>
      </w:pPr>
      <w:r>
        <w:rPr>
          <w:rFonts w:ascii="仿宋" w:eastAsia="仿宋" w:hAnsi="仿宋" w:cs="仿宋" w:hint="eastAsia"/>
          <w:sz w:val="32"/>
          <w:lang w:bidi="ar"/>
        </w:rPr>
        <w:t>4.负责公平竞争相关工作。统筹推进竞争政策实施，指导实施公平竞争审查制度。指导兰溪企业在国外的反垄断应诉工作。</w:t>
      </w:r>
    </w:p>
    <w:p w14:paraId="10E1811F" w14:textId="77777777" w:rsidR="00F0566E" w:rsidRDefault="00000000">
      <w:pPr>
        <w:widowControl/>
        <w:spacing w:line="560" w:lineRule="exact"/>
        <w:ind w:firstLineChars="200" w:firstLine="640"/>
        <w:rPr>
          <w:rFonts w:ascii="仿宋" w:eastAsia="仿宋" w:hAnsi="仿宋" w:cs="仿宋"/>
        </w:rPr>
      </w:pPr>
      <w:r>
        <w:rPr>
          <w:rFonts w:ascii="仿宋" w:eastAsia="仿宋" w:hAnsi="仿宋" w:cs="仿宋" w:hint="eastAsia"/>
          <w:lang w:bidi="ar"/>
        </w:rPr>
        <w:t>5.负责监督管理市场秩序。依法监督管理市场交易、网络商品交易及有关服务行为。组织查处价格收费违法违规、不正当竞争、违法直销、传销、侵犯商标专利知识产权和制售假冒伪劣商品违法行为。参与制定商品交易市场发展规划并与相关部门建立沟通协作机制，规范商品交易市场、农贸市场秩序，指导商品交易市场提升发展和农贸市场改造提升工作。指导广告业发展，监督管理广告活动。指导查处无照生产经营和相关无证生产经营行为。指导消费维权工作和消费环境建设。</w:t>
      </w:r>
    </w:p>
    <w:p w14:paraId="3623464C" w14:textId="77777777" w:rsidR="00F0566E" w:rsidRDefault="00000000">
      <w:pPr>
        <w:widowControl/>
        <w:spacing w:line="560" w:lineRule="exact"/>
        <w:ind w:firstLineChars="200" w:firstLine="640"/>
        <w:rPr>
          <w:rFonts w:ascii="仿宋" w:eastAsia="仿宋" w:hAnsi="仿宋" w:cs="仿宋"/>
        </w:rPr>
      </w:pPr>
      <w:r>
        <w:rPr>
          <w:rFonts w:ascii="仿宋" w:eastAsia="仿宋" w:hAnsi="仿宋" w:cs="仿宋" w:hint="eastAsia"/>
          <w:lang w:bidi="ar"/>
        </w:rPr>
        <w:lastRenderedPageBreak/>
        <w:t>6.负责宏观质量管理。拟订并实施质量发展的制度措施。协调推进区域品牌建设，统筹质量基础设施建设与应用，会同有关部门组织实施重大工程设备质量监理制度，组织重大质量事故调查，统一实施缺陷产品召回制度，监督管理产品防伪工作。</w:t>
      </w:r>
    </w:p>
    <w:p w14:paraId="024CA8C1" w14:textId="77777777" w:rsidR="00F0566E" w:rsidRDefault="000000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0"/>
        <w:rPr>
          <w:rFonts w:ascii="仿宋" w:eastAsia="仿宋" w:hAnsi="仿宋" w:cs="仿宋"/>
          <w:sz w:val="32"/>
        </w:rPr>
      </w:pPr>
      <w:r>
        <w:rPr>
          <w:rFonts w:ascii="仿宋" w:eastAsia="仿宋" w:hAnsi="仿宋" w:cs="仿宋" w:hint="eastAsia"/>
          <w:sz w:val="32"/>
          <w:lang w:bidi="ar"/>
        </w:rPr>
        <w:t>7.负责产品质量安全监督管理。管理产品质量安全风险监控、监督抽查工作。组织实施质量分级制度、质量安全追溯制度。组织实施工业产品生产许可管理。负责纤维质量监督工作。</w:t>
      </w:r>
    </w:p>
    <w:p w14:paraId="51F2B11B" w14:textId="77777777" w:rsidR="00F0566E" w:rsidRDefault="00000000">
      <w:pPr>
        <w:widowControl/>
        <w:spacing w:line="560" w:lineRule="exact"/>
        <w:ind w:firstLineChars="195" w:firstLine="624"/>
        <w:rPr>
          <w:rFonts w:ascii="仿宋" w:eastAsia="仿宋" w:hAnsi="仿宋" w:cs="仿宋"/>
        </w:rPr>
      </w:pPr>
      <w:r>
        <w:rPr>
          <w:rFonts w:ascii="仿宋" w:eastAsia="仿宋" w:hAnsi="仿宋" w:cs="仿宋" w:hint="eastAsia"/>
          <w:lang w:bidi="ar"/>
        </w:rPr>
        <w:t>8.负责特种设备安全监督管理。综合管理特种设备安全监察、监督工作，监督检查高耗能特种设备节能标准和锅炉环境保护标准的执行情况。</w:t>
      </w:r>
    </w:p>
    <w:p w14:paraId="66812D1A" w14:textId="77777777" w:rsidR="00F0566E" w:rsidRDefault="00000000">
      <w:pPr>
        <w:widowControl/>
        <w:spacing w:line="560" w:lineRule="exact"/>
        <w:ind w:firstLineChars="200" w:firstLine="640"/>
        <w:rPr>
          <w:rFonts w:ascii="仿宋" w:eastAsia="仿宋" w:hAnsi="仿宋" w:cs="仿宋"/>
        </w:rPr>
      </w:pPr>
      <w:r>
        <w:rPr>
          <w:rFonts w:ascii="仿宋" w:eastAsia="仿宋" w:hAnsi="仿宋" w:cs="仿宋" w:hint="eastAsia"/>
          <w:lang w:bidi="ar"/>
        </w:rPr>
        <w:t>9.负责食品安全监督管理综合协调。组织制定食品安全重大政策并组织实施。负责食品安全应急体系建设，组织指导重大食品安全事件应急处置和调查处理工作。建立落实食品安全重要信息直报制度。承担市食品安全委员会具体工作。</w:t>
      </w:r>
    </w:p>
    <w:p w14:paraId="04AC3C8E" w14:textId="77777777" w:rsidR="00F0566E" w:rsidRDefault="00000000">
      <w:pPr>
        <w:widowControl/>
        <w:spacing w:line="560" w:lineRule="exact"/>
        <w:ind w:firstLineChars="200" w:firstLine="640"/>
        <w:rPr>
          <w:rFonts w:ascii="仿宋" w:eastAsia="仿宋" w:hAnsi="仿宋" w:cs="仿宋"/>
        </w:rPr>
      </w:pPr>
      <w:r>
        <w:rPr>
          <w:rFonts w:ascii="仿宋" w:eastAsia="仿宋" w:hAnsi="仿宋" w:cs="仿宋" w:hint="eastAsia"/>
          <w:lang w:bidi="ar"/>
        </w:rPr>
        <w:t>10.负责食品安全监督管理。建立实施覆盖食品生产、流通、消费全过程的监督检查制度和隐患排查治理机制，防范区域性、系统性食品安全风险。推行食品生产经营者落实主体责任机制，健全食品安全追溯体系。组织开展食品安全监督抽检、核查处置和风险预警、风险交流工作。组织实施特殊食品的监督管理。</w:t>
      </w:r>
    </w:p>
    <w:p w14:paraId="5E9BBB99" w14:textId="77777777" w:rsidR="00F0566E" w:rsidRDefault="00000000">
      <w:pPr>
        <w:widowControl/>
        <w:spacing w:line="560" w:lineRule="exact"/>
        <w:ind w:firstLineChars="200" w:firstLine="640"/>
        <w:rPr>
          <w:rFonts w:ascii="仿宋" w:eastAsia="仿宋" w:hAnsi="仿宋" w:cs="仿宋"/>
        </w:rPr>
      </w:pPr>
      <w:r>
        <w:rPr>
          <w:rFonts w:ascii="仿宋" w:eastAsia="仿宋" w:hAnsi="仿宋" w:cs="仿宋" w:hint="eastAsia"/>
          <w:lang w:bidi="ar"/>
        </w:rPr>
        <w:t>11.负责统一管理计量工作。推行法定计量单位和国家计量制度，管理计量器具、量值传递和计量比对工作。规范、监督商品量和市场计量行为。</w:t>
      </w:r>
    </w:p>
    <w:p w14:paraId="1778B646" w14:textId="77777777" w:rsidR="00F0566E" w:rsidRDefault="00000000">
      <w:pPr>
        <w:widowControl/>
        <w:spacing w:line="560" w:lineRule="exact"/>
        <w:ind w:firstLineChars="200" w:firstLine="640"/>
        <w:rPr>
          <w:rFonts w:ascii="仿宋" w:eastAsia="仿宋" w:hAnsi="仿宋" w:cs="仿宋"/>
        </w:rPr>
      </w:pPr>
      <w:r>
        <w:rPr>
          <w:rFonts w:ascii="仿宋" w:eastAsia="仿宋" w:hAnsi="仿宋" w:cs="仿宋" w:hint="eastAsia"/>
          <w:lang w:bidi="ar"/>
        </w:rPr>
        <w:lastRenderedPageBreak/>
        <w:t>12.负责统一管理标准化工作。组织协调并指导推动各部门、各行业的标准化工作。依法对标准的实施进行监督。</w:t>
      </w:r>
    </w:p>
    <w:p w14:paraId="0CF55F2B" w14:textId="77777777" w:rsidR="00F0566E" w:rsidRDefault="00000000">
      <w:pPr>
        <w:widowControl/>
        <w:spacing w:line="560" w:lineRule="exact"/>
        <w:ind w:firstLineChars="200" w:firstLine="640"/>
        <w:rPr>
          <w:rFonts w:ascii="仿宋" w:eastAsia="仿宋" w:hAnsi="仿宋" w:cs="仿宋"/>
        </w:rPr>
      </w:pPr>
      <w:r>
        <w:rPr>
          <w:rFonts w:ascii="仿宋" w:eastAsia="仿宋" w:hAnsi="仿宋" w:cs="仿宋" w:hint="eastAsia"/>
          <w:lang w:bidi="ar"/>
        </w:rPr>
        <w:t xml:space="preserve">13.负责统一管理检验检测工作。推进检验检测机构改革，规范检验检测市场，完善检验检测体系，指导协调检验检测行业发展。 </w:t>
      </w:r>
    </w:p>
    <w:p w14:paraId="3C50AFE4" w14:textId="77777777" w:rsidR="00F0566E" w:rsidRDefault="000000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0"/>
        <w:rPr>
          <w:rFonts w:ascii="仿宋" w:eastAsia="仿宋" w:hAnsi="仿宋" w:cs="仿宋"/>
          <w:sz w:val="32"/>
        </w:rPr>
      </w:pPr>
      <w:r>
        <w:rPr>
          <w:rFonts w:ascii="仿宋" w:eastAsia="仿宋" w:hAnsi="仿宋" w:cs="仿宋" w:hint="eastAsia"/>
          <w:sz w:val="32"/>
          <w:lang w:bidi="ar"/>
        </w:rPr>
        <w:t>14.负责统一管理、监督和综合协调认证认可工作。组织实施统一的认证认可和合格评定监督管理制度。</w:t>
      </w:r>
    </w:p>
    <w:p w14:paraId="7E788B4D" w14:textId="77777777" w:rsidR="00F0566E" w:rsidRDefault="00000000">
      <w:pPr>
        <w:widowControl/>
        <w:spacing w:line="560" w:lineRule="exact"/>
        <w:ind w:firstLineChars="200" w:firstLine="640"/>
        <w:rPr>
          <w:rFonts w:ascii="仿宋" w:eastAsia="仿宋" w:hAnsi="仿宋" w:cs="仿宋"/>
        </w:rPr>
      </w:pPr>
      <w:r>
        <w:rPr>
          <w:rFonts w:ascii="仿宋" w:eastAsia="仿宋" w:hAnsi="仿宋" w:cs="仿宋" w:hint="eastAsia"/>
          <w:lang w:bidi="ar"/>
        </w:rPr>
        <w:t>15.负责药品（含中药、民族药，下同）、医疗器械、化妆品安全监督管理。监督实施国家药品、医疗器械、化妆品标准、技术规范和分类管理制度。配合实施国家基本药物制度和药品、医疗器械、化妆品生产环节质量管理规范。监督实施药品、医疗器械经营、使用环节质量管理规范。</w:t>
      </w:r>
    </w:p>
    <w:p w14:paraId="71850221" w14:textId="77777777" w:rsidR="00F0566E" w:rsidRDefault="00000000">
      <w:pPr>
        <w:widowControl/>
        <w:spacing w:line="560" w:lineRule="exact"/>
        <w:ind w:firstLineChars="200" w:firstLine="640"/>
        <w:rPr>
          <w:rFonts w:ascii="仿宋" w:eastAsia="仿宋" w:hAnsi="仿宋" w:cs="仿宋"/>
        </w:rPr>
      </w:pPr>
      <w:r>
        <w:rPr>
          <w:rFonts w:ascii="仿宋" w:eastAsia="仿宋" w:hAnsi="仿宋" w:cs="仿宋" w:hint="eastAsia"/>
          <w:lang w:bidi="ar"/>
        </w:rPr>
        <w:t>16.组织实施第一类医疗器械产品和生产备案，组织实施药品零售、医疗器械经营的许可。配合金华市市场监督管理局组织实施药品、医疗器械、化妆品生产、经营环节，药品、医疗器械使用环节以及药品医疗器械互联网信息服务的检查和处罚。配合实施执业药师资格准入制度，监督管理执业药师注册工作。</w:t>
      </w:r>
    </w:p>
    <w:p w14:paraId="16AFA141" w14:textId="77777777" w:rsidR="00F0566E" w:rsidRDefault="00000000">
      <w:pPr>
        <w:widowControl/>
        <w:spacing w:line="560" w:lineRule="exact"/>
        <w:ind w:firstLineChars="200" w:firstLine="640"/>
        <w:rPr>
          <w:rFonts w:ascii="仿宋" w:eastAsia="仿宋" w:hAnsi="仿宋" w:cs="仿宋"/>
        </w:rPr>
      </w:pPr>
      <w:r>
        <w:rPr>
          <w:rFonts w:ascii="仿宋" w:eastAsia="仿宋" w:hAnsi="仿宋" w:cs="仿宋" w:hint="eastAsia"/>
          <w:lang w:bidi="ar"/>
        </w:rPr>
        <w:t>17.配合组织实施药品、医疗器械和化妆品上市后风险管理。开展药品不良反应、医疗器械不良事件、化妆品不良反应的监测工作，监督实施产品召回制度。组织开展药品、医疗器械和化妆品质量抽查检验。依法承担药品、医疗器械和化妆品安全应急管理工作。推进药品、医疗器械和化妆品质</w:t>
      </w:r>
      <w:proofErr w:type="gramStart"/>
      <w:r>
        <w:rPr>
          <w:rFonts w:ascii="仿宋" w:eastAsia="仿宋" w:hAnsi="仿宋" w:cs="仿宋" w:hint="eastAsia"/>
          <w:lang w:bidi="ar"/>
        </w:rPr>
        <w:t>量安全</w:t>
      </w:r>
      <w:proofErr w:type="gramEnd"/>
      <w:r>
        <w:rPr>
          <w:rFonts w:ascii="仿宋" w:eastAsia="仿宋" w:hAnsi="仿宋" w:cs="仿宋" w:hint="eastAsia"/>
          <w:lang w:bidi="ar"/>
        </w:rPr>
        <w:t>信用体系和技术支撑体系建设，指导监测机构业务工作。</w:t>
      </w:r>
    </w:p>
    <w:p w14:paraId="6AC9F86D" w14:textId="77777777" w:rsidR="00F0566E" w:rsidRDefault="00000000">
      <w:pPr>
        <w:widowControl/>
        <w:spacing w:line="560" w:lineRule="exact"/>
        <w:ind w:firstLineChars="200" w:firstLine="640"/>
        <w:rPr>
          <w:rFonts w:ascii="仿宋" w:eastAsia="仿宋" w:hAnsi="仿宋" w:cs="仿宋"/>
        </w:rPr>
      </w:pPr>
      <w:r>
        <w:rPr>
          <w:rFonts w:ascii="仿宋" w:eastAsia="仿宋" w:hAnsi="仿宋" w:cs="仿宋" w:hint="eastAsia"/>
          <w:lang w:bidi="ar"/>
        </w:rPr>
        <w:lastRenderedPageBreak/>
        <w:t>18.负责知识产权监督管理。拟订并组织实施知识产权创造、保护和运用的政策、规划，建设完善知识产权保护体系、公共服务体系，组织商标专利执法，保护知识产权，促进知识产权创造和运用。</w:t>
      </w:r>
    </w:p>
    <w:p w14:paraId="614C682E" w14:textId="77777777" w:rsidR="00F0566E" w:rsidRDefault="00000000">
      <w:pPr>
        <w:widowControl/>
        <w:spacing w:line="560" w:lineRule="exact"/>
        <w:ind w:firstLineChars="200" w:firstLine="640"/>
        <w:rPr>
          <w:rFonts w:ascii="仿宋" w:eastAsia="仿宋" w:hAnsi="仿宋" w:cs="仿宋"/>
        </w:rPr>
      </w:pPr>
      <w:r>
        <w:rPr>
          <w:rFonts w:ascii="仿宋" w:eastAsia="仿宋" w:hAnsi="仿宋" w:cs="仿宋" w:hint="eastAsia"/>
          <w:lang w:bidi="ar"/>
        </w:rPr>
        <w:t>19.负责市场监督管理科技和信息化建设、新闻宣传、交流与合作。按照规定承担应对技术性贸易措施有关工作。</w:t>
      </w:r>
    </w:p>
    <w:p w14:paraId="4B458CD8" w14:textId="77777777" w:rsidR="00F0566E" w:rsidRDefault="00000000">
      <w:pPr>
        <w:widowControl/>
        <w:spacing w:line="560" w:lineRule="exact"/>
        <w:ind w:firstLineChars="200" w:firstLine="640"/>
        <w:rPr>
          <w:rFonts w:ascii="仿宋" w:eastAsia="仿宋" w:hAnsi="仿宋" w:cs="仿宋"/>
        </w:rPr>
      </w:pPr>
      <w:r>
        <w:rPr>
          <w:rFonts w:ascii="仿宋" w:eastAsia="仿宋" w:hAnsi="仿宋" w:cs="仿宋" w:hint="eastAsia"/>
          <w:lang w:bidi="ar"/>
        </w:rPr>
        <w:t xml:space="preserve">20.负责组织和指导市场监管综合行政执法工作。贯彻落实中央、省、市关于市场监管综合行政执法改革相关文件精神，指导推进全市市场监管综合行政执法改革工作。规范市场监管行政执法行为。组织查处违反市场监管法律法规规章的违法案件。  </w:t>
      </w:r>
    </w:p>
    <w:p w14:paraId="46391608" w14:textId="77777777" w:rsidR="00F0566E" w:rsidRDefault="00000000">
      <w:pPr>
        <w:widowControl/>
        <w:spacing w:line="560" w:lineRule="exact"/>
        <w:ind w:firstLineChars="150" w:firstLine="480"/>
        <w:rPr>
          <w:rFonts w:ascii="仿宋" w:eastAsia="仿宋" w:hAnsi="仿宋" w:cs="仿宋"/>
        </w:rPr>
      </w:pPr>
      <w:r>
        <w:rPr>
          <w:rFonts w:ascii="仿宋" w:eastAsia="仿宋" w:hAnsi="仿宋" w:cs="仿宋" w:hint="eastAsia"/>
          <w:lang w:bidi="ar"/>
        </w:rPr>
        <w:t xml:space="preserve">21.依据市安全生产委员会的职责分工，负责特种设备安全监督管理。依法做好涉及安全生产前置审批企业的市场准入工作。配合有关部门督促食品、药品、医疗器械、化妆品行业生产经营单位做好安全生产工作。                                                          </w:t>
      </w:r>
    </w:p>
    <w:p w14:paraId="170F0966" w14:textId="77777777" w:rsidR="00F0566E" w:rsidRDefault="00000000">
      <w:pPr>
        <w:widowControl/>
        <w:spacing w:line="560" w:lineRule="exact"/>
        <w:ind w:firstLineChars="200" w:firstLine="640"/>
        <w:rPr>
          <w:rFonts w:ascii="仿宋" w:eastAsia="仿宋" w:hAnsi="仿宋" w:cs="仿宋"/>
        </w:rPr>
      </w:pPr>
      <w:r>
        <w:rPr>
          <w:rFonts w:ascii="仿宋" w:eastAsia="仿宋" w:hAnsi="仿宋" w:cs="仿宋" w:hint="eastAsia"/>
          <w:lang w:bidi="ar"/>
        </w:rPr>
        <w:t>22.完成市委、市政府交办的其他任务。</w:t>
      </w:r>
    </w:p>
    <w:p w14:paraId="36E85563" w14:textId="77777777" w:rsidR="00F0566E" w:rsidRDefault="00000000">
      <w:pPr>
        <w:widowControl/>
        <w:spacing w:line="560" w:lineRule="exact"/>
        <w:ind w:firstLine="594"/>
        <w:rPr>
          <w:rFonts w:ascii="楷体" w:eastAsia="楷体" w:hAnsi="楷体" w:cs="楷体"/>
          <w:b/>
          <w:color w:val="000000"/>
          <w:highlight w:val="white"/>
        </w:rPr>
      </w:pPr>
      <w:r>
        <w:rPr>
          <w:rFonts w:ascii="楷体" w:eastAsia="楷体" w:hAnsi="楷体" w:cs="楷体" w:hint="eastAsia"/>
          <w:b/>
          <w:color w:val="000000"/>
          <w:highlight w:val="white"/>
          <w:lang w:bidi="ar"/>
        </w:rPr>
        <w:t>（二）机构设置</w:t>
      </w:r>
    </w:p>
    <w:p w14:paraId="0A208DCF" w14:textId="77777777" w:rsidR="00F0566E" w:rsidRDefault="00000000">
      <w:pPr>
        <w:widowControl/>
        <w:spacing w:line="560" w:lineRule="exact"/>
        <w:ind w:firstLineChars="150" w:firstLine="480"/>
        <w:rPr>
          <w:rFonts w:ascii="仿宋" w:eastAsia="仿宋" w:hAnsi="仿宋" w:cs="仿宋"/>
        </w:rPr>
      </w:pPr>
      <w:r>
        <w:rPr>
          <w:rFonts w:ascii="仿宋" w:eastAsia="仿宋" w:hAnsi="仿宋" w:cs="仿宋" w:hint="eastAsia"/>
          <w:lang w:bidi="ar"/>
        </w:rPr>
        <w:t>从预算单位构成看，兰溪市市场监督管理局部门决算包括：局本级决算、局属派出机构【企业注册中心和各市场监督管理所（同市场监管综合行政执法队实行所队合一体制）】、兰溪市产品商品质量检测研究院决算。</w:t>
      </w:r>
    </w:p>
    <w:p w14:paraId="1DED05AF" w14:textId="77777777" w:rsidR="00F0566E" w:rsidRDefault="00000000">
      <w:pPr>
        <w:widowControl/>
        <w:spacing w:line="560" w:lineRule="exact"/>
        <w:ind w:firstLineChars="150" w:firstLine="480"/>
        <w:rPr>
          <w:rFonts w:ascii="仿宋" w:eastAsia="仿宋" w:hAnsi="仿宋" w:cs="仿宋"/>
        </w:rPr>
      </w:pPr>
      <w:r>
        <w:rPr>
          <w:rFonts w:ascii="仿宋" w:eastAsia="仿宋" w:hAnsi="仿宋" w:cs="仿宋" w:hint="eastAsia"/>
          <w:lang w:bidi="ar"/>
        </w:rPr>
        <w:t>纳入兰溪市市场监督管理局2020年度部门决算编制范围的二级预算单位包括：</w:t>
      </w:r>
    </w:p>
    <w:p w14:paraId="28FFC8FE" w14:textId="77777777" w:rsidR="00F0566E" w:rsidRDefault="00000000">
      <w:pPr>
        <w:widowControl/>
        <w:spacing w:line="560" w:lineRule="exact"/>
        <w:ind w:firstLineChars="150" w:firstLine="480"/>
        <w:rPr>
          <w:rFonts w:ascii="仿宋" w:eastAsia="仿宋" w:hAnsi="仿宋" w:cs="仿宋"/>
        </w:rPr>
      </w:pPr>
      <w:r>
        <w:rPr>
          <w:rFonts w:ascii="仿宋" w:eastAsia="仿宋" w:hAnsi="仿宋" w:cs="仿宋" w:hint="eastAsia"/>
          <w:lang w:bidi="ar"/>
        </w:rPr>
        <w:lastRenderedPageBreak/>
        <w:t>1. 局本级决算、局属派出机构【企业注册中心和各市场监督管理所（同市场监管综合行政执法队实行所队合一体制）】</w:t>
      </w:r>
    </w:p>
    <w:p w14:paraId="77CE7783" w14:textId="77777777" w:rsidR="00F0566E" w:rsidRDefault="00000000">
      <w:pPr>
        <w:widowControl/>
        <w:spacing w:line="560" w:lineRule="exact"/>
        <w:ind w:firstLineChars="150" w:firstLine="480"/>
        <w:rPr>
          <w:rFonts w:ascii="仿宋" w:eastAsia="仿宋" w:hAnsi="仿宋" w:cs="仿宋"/>
        </w:rPr>
      </w:pPr>
      <w:r>
        <w:rPr>
          <w:rFonts w:ascii="仿宋" w:eastAsia="仿宋" w:hAnsi="仿宋" w:cs="仿宋" w:hint="eastAsia"/>
          <w:lang w:bidi="ar"/>
        </w:rPr>
        <w:t>2. 兰溪市产品商品质量检测研究院</w:t>
      </w:r>
    </w:p>
    <w:p w14:paraId="46CBC21E" w14:textId="77777777" w:rsidR="00F0566E" w:rsidRDefault="00000000">
      <w:pPr>
        <w:widowControl/>
        <w:spacing w:line="324" w:lineRule="auto"/>
        <w:ind w:firstLine="600"/>
        <w:rPr>
          <w:rFonts w:ascii="黑体" w:eastAsia="黑体" w:hAnsi="宋体" w:cs="黑体"/>
          <w:b/>
          <w:color w:val="000000"/>
          <w:highlight w:val="white"/>
        </w:rPr>
      </w:pPr>
      <w:r>
        <w:rPr>
          <w:rFonts w:ascii="黑体" w:eastAsia="黑体" w:hAnsi="宋体" w:cs="黑体" w:hint="eastAsia"/>
          <w:b/>
          <w:color w:val="000000"/>
          <w:highlight w:val="white"/>
          <w:lang w:bidi="ar"/>
        </w:rPr>
        <w:t>二、2021年度部门决算公开表</w:t>
      </w:r>
    </w:p>
    <w:p w14:paraId="11E2D789" w14:textId="77777777" w:rsidR="00F0566E" w:rsidRDefault="00000000">
      <w:pPr>
        <w:widowControl/>
        <w:spacing w:line="324" w:lineRule="auto"/>
        <w:ind w:firstLine="594"/>
        <w:rPr>
          <w:rFonts w:cs="Times New Roman"/>
          <w:color w:val="000000"/>
          <w:highlight w:val="white"/>
        </w:rPr>
      </w:pPr>
      <w:r>
        <w:rPr>
          <w:rFonts w:ascii="仿宋" w:eastAsia="仿宋" w:hAnsi="仿宋" w:cs="仿宋" w:hint="eastAsia"/>
          <w:color w:val="000000"/>
          <w:highlight w:val="white"/>
          <w:lang w:bidi="ar"/>
        </w:rPr>
        <w:t>详见附表</w:t>
      </w:r>
      <w:r>
        <w:rPr>
          <w:rFonts w:ascii="仿宋_GB2312" w:cs="仿宋_GB2312" w:hint="eastAsia"/>
          <w:color w:val="000000"/>
          <w:highlight w:val="white"/>
          <w:lang w:bidi="ar"/>
        </w:rPr>
        <w:t>。</w:t>
      </w:r>
    </w:p>
    <w:p w14:paraId="4673660E" w14:textId="77777777" w:rsidR="00F0566E" w:rsidRDefault="00000000">
      <w:pPr>
        <w:widowControl/>
        <w:spacing w:line="324" w:lineRule="auto"/>
        <w:ind w:firstLine="594"/>
        <w:rPr>
          <w:rFonts w:cs="Times New Roman"/>
          <w:b/>
          <w:color w:val="000000"/>
          <w:highlight w:val="white"/>
        </w:rPr>
      </w:pPr>
      <w:r>
        <w:rPr>
          <w:rFonts w:ascii="黑体" w:eastAsia="黑体" w:hAnsi="宋体" w:cs="黑体" w:hint="eastAsia"/>
          <w:b/>
          <w:highlight w:val="white"/>
          <w:lang w:bidi="ar"/>
        </w:rPr>
        <w:t>三、</w:t>
      </w:r>
      <w:r>
        <w:rPr>
          <w:rFonts w:ascii="黑体" w:eastAsia="黑体" w:hAnsi="宋体" w:cs="黑体" w:hint="eastAsia"/>
          <w:b/>
          <w:color w:val="000000"/>
          <w:highlight w:val="white"/>
          <w:lang w:bidi="ar"/>
        </w:rPr>
        <w:t>2021年度部门决算情况说明</w:t>
      </w:r>
    </w:p>
    <w:p w14:paraId="541F0545" w14:textId="77777777" w:rsidR="00F0566E" w:rsidRDefault="00000000">
      <w:pPr>
        <w:widowControl/>
        <w:spacing w:line="324" w:lineRule="auto"/>
        <w:ind w:firstLine="594"/>
        <w:rPr>
          <w:rFonts w:cs="Times New Roman"/>
          <w:b/>
          <w:color w:val="000000"/>
          <w:highlight w:val="white"/>
        </w:rPr>
      </w:pPr>
      <w:r>
        <w:rPr>
          <w:rFonts w:ascii="楷体" w:eastAsia="楷体" w:hAnsi="楷体" w:cs="楷体" w:hint="eastAsia"/>
          <w:b/>
          <w:color w:val="000000"/>
          <w:highlight w:val="white"/>
          <w:lang w:bidi="ar"/>
        </w:rPr>
        <w:t>（一）收入支出决算总体情况说明</w:t>
      </w:r>
    </w:p>
    <w:p w14:paraId="451A0E45" w14:textId="77777777" w:rsidR="00F0566E" w:rsidRDefault="00000000">
      <w:pPr>
        <w:widowControl/>
        <w:spacing w:line="324" w:lineRule="auto"/>
        <w:ind w:firstLine="594"/>
        <w:rPr>
          <w:rFonts w:cs="Times New Roman"/>
          <w:b/>
          <w:color w:val="000000"/>
          <w:highlight w:val="white"/>
        </w:rPr>
      </w:pPr>
      <w:r>
        <w:rPr>
          <w:rFonts w:ascii="仿宋" w:eastAsia="仿宋" w:hAnsi="仿宋" w:cs="仿宋" w:hint="eastAsia"/>
          <w:color w:val="000000"/>
          <w:highlight w:val="white"/>
          <w:lang w:bidi="ar"/>
        </w:rPr>
        <w:t>2021年度收入总计9,383.78万元，支出总计9,383.78万元,与2020年度相比，各减少1513.45万元，下降13.89%。主要原因是：2020年度新增</w:t>
      </w:r>
      <w:r>
        <w:rPr>
          <w:rFonts w:ascii="仿宋" w:eastAsia="仿宋" w:hAnsi="仿宋" w:cs="仿宋" w:hint="eastAsia"/>
          <w:lang w:bidi="ar"/>
        </w:rPr>
        <w:t>政府性基金预算财政拨款支出，2021年度无该项目支出</w:t>
      </w:r>
      <w:r>
        <w:rPr>
          <w:rFonts w:ascii="仿宋" w:eastAsia="仿宋" w:hAnsi="仿宋" w:cs="仿宋" w:hint="eastAsia"/>
          <w:color w:val="000000"/>
          <w:highlight w:val="white"/>
          <w:lang w:bidi="ar"/>
        </w:rPr>
        <w:t>。</w:t>
      </w:r>
    </w:p>
    <w:p w14:paraId="13A23D9E" w14:textId="77777777" w:rsidR="00F0566E" w:rsidRDefault="00000000">
      <w:pPr>
        <w:widowControl/>
        <w:spacing w:line="324" w:lineRule="auto"/>
        <w:ind w:firstLine="594"/>
        <w:rPr>
          <w:rFonts w:cs="Times New Roman"/>
          <w:b/>
          <w:color w:val="000000"/>
          <w:highlight w:val="white"/>
        </w:rPr>
      </w:pPr>
      <w:r>
        <w:rPr>
          <w:rFonts w:ascii="楷体" w:eastAsia="楷体" w:hAnsi="楷体" w:cs="楷体" w:hint="eastAsia"/>
          <w:b/>
          <w:color w:val="000000"/>
          <w:highlight w:val="white"/>
          <w:lang w:bidi="ar"/>
        </w:rPr>
        <w:t>（二）收入决算情况说明</w:t>
      </w:r>
    </w:p>
    <w:p w14:paraId="522293FD"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本年收入合计9,383.78万元；包括财政拨款收入9,319.36万元（其中，一般公共预算9,319.36万元，政府性基金预算0万元,国有资本经营预算0万元），占收入合计99.31%；上级补助收入0万元，占收入合计0%；事业收入64.42万元，占收入合计0.69%；经营收入0万元，占收入合计0%；附属单位上缴收入0万元，占收入合计0%；其他收入0万元，占收入合计0%。</w:t>
      </w:r>
    </w:p>
    <w:p w14:paraId="13943697" w14:textId="77777777" w:rsidR="00F0566E" w:rsidRDefault="00000000">
      <w:pPr>
        <w:widowControl/>
        <w:spacing w:line="324" w:lineRule="auto"/>
        <w:ind w:firstLine="594"/>
        <w:rPr>
          <w:rFonts w:cs="Times New Roman"/>
          <w:b/>
          <w:color w:val="000000"/>
          <w:highlight w:val="white"/>
        </w:rPr>
      </w:pPr>
      <w:r>
        <w:rPr>
          <w:rFonts w:ascii="楷体" w:eastAsia="楷体" w:hAnsi="楷体" w:cs="楷体" w:hint="eastAsia"/>
          <w:b/>
          <w:color w:val="000000"/>
          <w:highlight w:val="white"/>
          <w:lang w:bidi="ar"/>
        </w:rPr>
        <w:t>（三）支出决算情况说明</w:t>
      </w:r>
    </w:p>
    <w:p w14:paraId="37FF04FD"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本年支出合计9,383.78万元，其中基本支出5,639.28万元，占60.1%；项目支出3,744.5万元，占39.9%；上缴上级支</w:t>
      </w:r>
      <w:r>
        <w:rPr>
          <w:rFonts w:ascii="仿宋" w:eastAsia="仿宋" w:hAnsi="仿宋" w:cs="仿宋" w:hint="eastAsia"/>
          <w:color w:val="000000"/>
          <w:highlight w:val="white"/>
          <w:lang w:bidi="ar"/>
        </w:rPr>
        <w:lastRenderedPageBreak/>
        <w:t>出</w:t>
      </w:r>
      <w:r>
        <w:rPr>
          <w:rFonts w:ascii="仿宋" w:eastAsia="仿宋" w:hAnsi="仿宋" w:cs="仿宋" w:hint="eastAsia"/>
          <w:highlight w:val="white"/>
          <w:lang w:bidi="ar"/>
        </w:rPr>
        <w:t>0</w:t>
      </w:r>
      <w:r>
        <w:rPr>
          <w:rFonts w:ascii="仿宋" w:eastAsia="仿宋" w:hAnsi="仿宋" w:cs="仿宋" w:hint="eastAsia"/>
          <w:color w:val="000000"/>
          <w:highlight w:val="white"/>
          <w:lang w:bidi="ar"/>
        </w:rPr>
        <w:t>万元，占0%；经营支出0万元，占0%；对附属单位补助支出</w:t>
      </w:r>
      <w:r>
        <w:rPr>
          <w:rFonts w:ascii="仿宋" w:eastAsia="仿宋" w:hAnsi="仿宋" w:cs="仿宋" w:hint="eastAsia"/>
          <w:highlight w:val="white"/>
          <w:lang w:bidi="ar"/>
        </w:rPr>
        <w:t>0</w:t>
      </w:r>
      <w:r>
        <w:rPr>
          <w:rFonts w:ascii="仿宋" w:eastAsia="仿宋" w:hAnsi="仿宋" w:cs="仿宋" w:hint="eastAsia"/>
          <w:color w:val="000000"/>
          <w:highlight w:val="white"/>
          <w:lang w:bidi="ar"/>
        </w:rPr>
        <w:t>万元，占0%。</w:t>
      </w:r>
    </w:p>
    <w:p w14:paraId="4D6F3859" w14:textId="77777777" w:rsidR="00F0566E" w:rsidRDefault="00000000">
      <w:pPr>
        <w:widowControl/>
        <w:spacing w:line="324" w:lineRule="auto"/>
        <w:ind w:firstLine="594"/>
        <w:rPr>
          <w:rFonts w:ascii="楷体" w:eastAsia="楷体" w:hAnsi="楷体" w:cs="楷体"/>
          <w:b/>
          <w:color w:val="000000"/>
          <w:highlight w:val="white"/>
        </w:rPr>
      </w:pPr>
      <w:r>
        <w:rPr>
          <w:rFonts w:ascii="楷体" w:eastAsia="楷体" w:hAnsi="楷体" w:cs="楷体" w:hint="eastAsia"/>
          <w:b/>
          <w:color w:val="000000"/>
          <w:highlight w:val="white"/>
          <w:lang w:bidi="ar"/>
        </w:rPr>
        <w:t>（四）财政拨款收入支出决算总体情况说明</w:t>
      </w:r>
    </w:p>
    <w:p w14:paraId="3ED19163" w14:textId="77777777" w:rsidR="00F0566E" w:rsidRDefault="00000000">
      <w:pPr>
        <w:widowControl/>
        <w:spacing w:line="324" w:lineRule="auto"/>
        <w:ind w:firstLine="594"/>
        <w:rPr>
          <w:rFonts w:ascii="仿宋" w:eastAsia="仿宋" w:hAnsi="仿宋" w:cs="仿宋"/>
          <w:b/>
          <w:color w:val="000000"/>
          <w:highlight w:val="white"/>
        </w:rPr>
      </w:pPr>
      <w:r>
        <w:rPr>
          <w:rFonts w:ascii="仿宋" w:eastAsia="仿宋" w:hAnsi="仿宋" w:cs="仿宋" w:hint="eastAsia"/>
          <w:color w:val="000000"/>
          <w:highlight w:val="white"/>
          <w:lang w:bidi="ar"/>
        </w:rPr>
        <w:t>2021年度财政拨款收入总计9,319.36万元，支出总计9,319.36万元，与2020年相比，各减少1495.72万元，下降13.83%。主要原因是2020年度新增</w:t>
      </w:r>
      <w:r>
        <w:rPr>
          <w:rFonts w:ascii="仿宋" w:eastAsia="仿宋" w:hAnsi="仿宋" w:cs="仿宋" w:hint="eastAsia"/>
          <w:lang w:bidi="ar"/>
        </w:rPr>
        <w:t>政府性基金预算财政拨款支出，2021年度无该项目支出</w:t>
      </w:r>
      <w:r>
        <w:rPr>
          <w:rFonts w:ascii="仿宋" w:eastAsia="仿宋" w:hAnsi="仿宋" w:cs="仿宋" w:hint="eastAsia"/>
          <w:highlight w:val="white"/>
          <w:lang w:bidi="ar"/>
        </w:rPr>
        <w:t>；</w:t>
      </w:r>
      <w:r>
        <w:rPr>
          <w:rFonts w:ascii="仿宋" w:eastAsia="仿宋" w:hAnsi="仿宋" w:cs="仿宋" w:hint="eastAsia"/>
          <w:color w:val="000000"/>
          <w:highlight w:val="white"/>
          <w:lang w:bidi="ar"/>
        </w:rPr>
        <w:t>财政拨款支出年初预算数</w:t>
      </w:r>
      <w:r>
        <w:rPr>
          <w:rFonts w:ascii="仿宋_GB2312" w:cs="仿宋_GB2312" w:hint="eastAsia"/>
          <w:color w:val="000000"/>
          <w:lang w:bidi="ar"/>
        </w:rPr>
        <w:t>8394.15</w:t>
      </w:r>
      <w:r>
        <w:rPr>
          <w:rFonts w:ascii="仿宋" w:eastAsia="仿宋" w:hAnsi="仿宋" w:cs="仿宋" w:hint="eastAsia"/>
          <w:color w:val="000000"/>
          <w:highlight w:val="white"/>
          <w:lang w:bidi="ar"/>
        </w:rPr>
        <w:t>万元，</w:t>
      </w:r>
      <w:r>
        <w:rPr>
          <w:rFonts w:ascii="仿宋" w:eastAsia="仿宋" w:hAnsi="仿宋" w:cs="仿宋" w:hint="eastAsia"/>
          <w:highlight w:val="white"/>
          <w:lang w:bidi="ar"/>
        </w:rPr>
        <w:t>完成年初预算的</w:t>
      </w:r>
      <w:r>
        <w:rPr>
          <w:rFonts w:ascii="仿宋" w:eastAsia="仿宋" w:hAnsi="仿宋" w:cs="仿宋" w:hint="eastAsia"/>
          <w:color w:val="000000"/>
          <w:highlight w:val="white"/>
          <w:lang w:bidi="ar"/>
        </w:rPr>
        <w:t>111.02%</w:t>
      </w:r>
      <w:r>
        <w:rPr>
          <w:rFonts w:ascii="仿宋" w:eastAsia="仿宋" w:hAnsi="仿宋" w:cs="仿宋" w:hint="eastAsia"/>
          <w:highlight w:val="white"/>
          <w:lang w:bidi="ar"/>
        </w:rPr>
        <w:t>，</w:t>
      </w:r>
      <w:r>
        <w:rPr>
          <w:rFonts w:ascii="仿宋" w:eastAsia="仿宋" w:hAnsi="仿宋" w:cs="仿宋" w:hint="eastAsia"/>
          <w:color w:val="000000"/>
          <w:highlight w:val="white"/>
          <w:lang w:bidi="ar"/>
        </w:rPr>
        <w:t>主要原因是</w:t>
      </w:r>
      <w:r>
        <w:rPr>
          <w:rFonts w:ascii="仿宋" w:eastAsia="仿宋" w:hAnsi="仿宋" w:cs="仿宋" w:hint="eastAsia"/>
          <w:highlight w:val="white"/>
          <w:lang w:bidi="ar"/>
        </w:rPr>
        <w:t>2021年度新追加</w:t>
      </w:r>
      <w:r>
        <w:rPr>
          <w:rFonts w:ascii="仿宋" w:eastAsia="仿宋" w:hAnsi="仿宋" w:cs="仿宋" w:hint="eastAsia"/>
          <w:color w:val="000000"/>
          <w:highlight w:val="white"/>
          <w:lang w:bidi="ar"/>
        </w:rPr>
        <w:t>新增其他支持中小企业发展和管理支出和强制检定经费等项目</w:t>
      </w:r>
      <w:r>
        <w:rPr>
          <w:rFonts w:ascii="仿宋" w:eastAsia="仿宋" w:hAnsi="仿宋" w:cs="仿宋" w:hint="eastAsia"/>
          <w:highlight w:val="white"/>
          <w:lang w:bidi="ar"/>
        </w:rPr>
        <w:t>。</w:t>
      </w:r>
    </w:p>
    <w:p w14:paraId="08C361C1" w14:textId="77777777" w:rsidR="00F0566E" w:rsidRDefault="00000000">
      <w:pPr>
        <w:widowControl/>
        <w:spacing w:line="324" w:lineRule="auto"/>
        <w:ind w:firstLine="594"/>
        <w:rPr>
          <w:rFonts w:cs="Times New Roman"/>
          <w:b/>
          <w:color w:val="000000"/>
          <w:highlight w:val="white"/>
        </w:rPr>
      </w:pPr>
      <w:r>
        <w:rPr>
          <w:rFonts w:ascii="楷体" w:eastAsia="楷体" w:hAnsi="楷体" w:cs="楷体" w:hint="eastAsia"/>
          <w:b/>
          <w:color w:val="000000"/>
          <w:highlight w:val="white"/>
          <w:lang w:bidi="ar"/>
        </w:rPr>
        <w:t>（五）一般公共预算财政拨款支出决算情况说明</w:t>
      </w:r>
    </w:p>
    <w:p w14:paraId="4A89D3F9" w14:textId="77777777" w:rsidR="00F0566E" w:rsidRDefault="00000000">
      <w:pPr>
        <w:widowControl/>
        <w:spacing w:line="324" w:lineRule="auto"/>
        <w:ind w:firstLine="606"/>
        <w:rPr>
          <w:rFonts w:ascii="仿宋" w:eastAsia="仿宋" w:hAnsi="仿宋" w:cs="仿宋"/>
          <w:color w:val="000000"/>
          <w:highlight w:val="white"/>
        </w:rPr>
      </w:pPr>
      <w:r>
        <w:rPr>
          <w:rFonts w:ascii="仿宋" w:eastAsia="仿宋" w:hAnsi="仿宋" w:cs="仿宋" w:hint="eastAsia"/>
          <w:b/>
          <w:color w:val="000000"/>
          <w:highlight w:val="white"/>
          <w:lang w:bidi="ar"/>
        </w:rPr>
        <w:t>1.一般公共预算财政拨款支出决算总体情况。</w:t>
      </w:r>
    </w:p>
    <w:p w14:paraId="2495CD67" w14:textId="77777777" w:rsidR="00F0566E" w:rsidRDefault="00000000">
      <w:pPr>
        <w:widowControl/>
        <w:spacing w:line="324" w:lineRule="auto"/>
        <w:ind w:firstLine="594"/>
        <w:rPr>
          <w:rFonts w:ascii="仿宋" w:eastAsia="仿宋" w:hAnsi="仿宋" w:cs="仿宋"/>
          <w:b/>
          <w:color w:val="000000"/>
          <w:highlight w:val="white"/>
        </w:rPr>
      </w:pPr>
      <w:r>
        <w:rPr>
          <w:rFonts w:ascii="仿宋" w:eastAsia="仿宋" w:hAnsi="仿宋" w:cs="仿宋" w:hint="eastAsia"/>
          <w:color w:val="000000"/>
          <w:highlight w:val="white"/>
          <w:lang w:bidi="ar"/>
        </w:rPr>
        <w:t>2021年度一般公共预算财政拨款支出9,319.36万元，占本年支出合计的99.31%。与2020年相比，一般公共预算财政拨款支出增加1010.78万元，增长12.17%。主要原因是：</w:t>
      </w:r>
      <w:r>
        <w:rPr>
          <w:rFonts w:ascii="仿宋" w:eastAsia="仿宋" w:hAnsi="仿宋" w:cs="仿宋" w:hint="eastAsia"/>
          <w:highlight w:val="white"/>
          <w:lang w:bidi="ar"/>
        </w:rPr>
        <w:t>2021年度新追加</w:t>
      </w:r>
      <w:r>
        <w:rPr>
          <w:rFonts w:ascii="仿宋" w:eastAsia="仿宋" w:hAnsi="仿宋" w:cs="仿宋" w:hint="eastAsia"/>
          <w:color w:val="000000"/>
          <w:highlight w:val="white"/>
          <w:lang w:bidi="ar"/>
        </w:rPr>
        <w:t>新增其他支持中小企业发展和管理支出和强制检定经费等项目</w:t>
      </w:r>
      <w:r>
        <w:rPr>
          <w:rFonts w:ascii="仿宋" w:eastAsia="仿宋" w:hAnsi="仿宋" w:cs="仿宋" w:hint="eastAsia"/>
          <w:highlight w:val="white"/>
          <w:lang w:bidi="ar"/>
        </w:rPr>
        <w:t>。</w:t>
      </w:r>
    </w:p>
    <w:p w14:paraId="21F5A902" w14:textId="77777777" w:rsidR="00F0566E" w:rsidRDefault="00000000">
      <w:pPr>
        <w:widowControl/>
        <w:spacing w:line="324" w:lineRule="auto"/>
        <w:ind w:firstLine="606"/>
        <w:rPr>
          <w:rFonts w:ascii="仿宋" w:eastAsia="仿宋" w:hAnsi="仿宋" w:cs="仿宋"/>
          <w:color w:val="000000"/>
          <w:highlight w:val="white"/>
        </w:rPr>
      </w:pPr>
      <w:r>
        <w:rPr>
          <w:rFonts w:ascii="仿宋" w:eastAsia="仿宋" w:hAnsi="仿宋" w:cs="仿宋" w:hint="eastAsia"/>
          <w:b/>
          <w:color w:val="000000"/>
          <w:highlight w:val="white"/>
          <w:lang w:bidi="ar"/>
        </w:rPr>
        <w:t>2.一般公共预算财政拨款支出决算结构情况。</w:t>
      </w:r>
    </w:p>
    <w:p w14:paraId="68617B3B" w14:textId="77777777" w:rsidR="00F0566E" w:rsidRDefault="00000000">
      <w:pPr>
        <w:widowControl/>
        <w:spacing w:line="324" w:lineRule="auto"/>
        <w:ind w:firstLine="606"/>
        <w:rPr>
          <w:rFonts w:ascii="仿宋" w:eastAsia="仿宋" w:hAnsi="仿宋" w:cs="仿宋"/>
          <w:b/>
          <w:color w:val="000000"/>
          <w:highlight w:val="white"/>
        </w:rPr>
      </w:pPr>
      <w:r>
        <w:rPr>
          <w:rFonts w:ascii="仿宋" w:eastAsia="仿宋" w:hAnsi="仿宋" w:cs="仿宋" w:hint="eastAsia"/>
          <w:color w:val="000000"/>
          <w:highlight w:val="white"/>
          <w:lang w:bidi="ar"/>
        </w:rPr>
        <w:t>2021年度一般公共预算财政拨款支出9,319.36万元，主要用于以下方面：一般公共服务（类）支出</w:t>
      </w:r>
      <w:r>
        <w:rPr>
          <w:rFonts w:ascii="仿宋" w:eastAsia="仿宋" w:hAnsi="仿宋" w:cs="仿宋" w:hint="eastAsia"/>
          <w:highlight w:val="white"/>
          <w:lang w:bidi="ar"/>
        </w:rPr>
        <w:t>9,150.86</w:t>
      </w:r>
      <w:r>
        <w:rPr>
          <w:rFonts w:ascii="仿宋" w:eastAsia="仿宋" w:hAnsi="仿宋" w:cs="仿宋" w:hint="eastAsia"/>
          <w:color w:val="000000"/>
          <w:highlight w:val="white"/>
          <w:lang w:bidi="ar"/>
        </w:rPr>
        <w:t>万元，占98.19%；国防（类）支出</w:t>
      </w:r>
      <w:r>
        <w:rPr>
          <w:rFonts w:ascii="仿宋" w:eastAsia="仿宋" w:hAnsi="仿宋" w:cs="仿宋" w:hint="eastAsia"/>
          <w:highlight w:val="white"/>
          <w:lang w:bidi="ar"/>
        </w:rPr>
        <w:t>0</w:t>
      </w:r>
      <w:r>
        <w:rPr>
          <w:rFonts w:ascii="仿宋" w:eastAsia="仿宋" w:hAnsi="仿宋" w:cs="仿宋" w:hint="eastAsia"/>
          <w:color w:val="000000"/>
          <w:highlight w:val="white"/>
          <w:lang w:bidi="ar"/>
        </w:rPr>
        <w:t>万元,占0%；公共安全（类）支出</w:t>
      </w:r>
      <w:r>
        <w:rPr>
          <w:rFonts w:ascii="仿宋" w:eastAsia="仿宋" w:hAnsi="仿宋" w:cs="仿宋" w:hint="eastAsia"/>
          <w:highlight w:val="white"/>
          <w:lang w:bidi="ar"/>
        </w:rPr>
        <w:t>0</w:t>
      </w:r>
      <w:r>
        <w:rPr>
          <w:rFonts w:ascii="仿宋" w:eastAsia="仿宋" w:hAnsi="仿宋" w:cs="仿宋" w:hint="eastAsia"/>
          <w:color w:val="000000"/>
          <w:highlight w:val="white"/>
          <w:lang w:bidi="ar"/>
        </w:rPr>
        <w:t>万元,占0%；教育（类）支出</w:t>
      </w:r>
      <w:r>
        <w:rPr>
          <w:rFonts w:ascii="仿宋" w:eastAsia="仿宋" w:hAnsi="仿宋" w:cs="仿宋" w:hint="eastAsia"/>
          <w:highlight w:val="white"/>
          <w:lang w:bidi="ar"/>
        </w:rPr>
        <w:t>0</w:t>
      </w:r>
      <w:r>
        <w:rPr>
          <w:rFonts w:ascii="仿宋" w:eastAsia="仿宋" w:hAnsi="仿宋" w:cs="仿宋" w:hint="eastAsia"/>
          <w:color w:val="000000"/>
          <w:highlight w:val="white"/>
          <w:lang w:bidi="ar"/>
        </w:rPr>
        <w:t>万元,占0%；科学技术（类）支出</w:t>
      </w:r>
      <w:r>
        <w:rPr>
          <w:rFonts w:ascii="仿宋" w:eastAsia="仿宋" w:hAnsi="仿宋" w:cs="仿宋" w:hint="eastAsia"/>
          <w:highlight w:val="white"/>
          <w:lang w:bidi="ar"/>
        </w:rPr>
        <w:t>0</w:t>
      </w:r>
      <w:r>
        <w:rPr>
          <w:rFonts w:ascii="仿宋" w:eastAsia="仿宋" w:hAnsi="仿宋" w:cs="仿宋" w:hint="eastAsia"/>
          <w:color w:val="000000"/>
          <w:highlight w:val="white"/>
          <w:lang w:bidi="ar"/>
        </w:rPr>
        <w:t>万元,占0%；文化旅游体育与传媒（类）支出</w:t>
      </w:r>
      <w:r>
        <w:rPr>
          <w:rFonts w:ascii="仿宋" w:eastAsia="仿宋" w:hAnsi="仿宋" w:cs="仿宋" w:hint="eastAsia"/>
          <w:highlight w:val="white"/>
          <w:lang w:bidi="ar"/>
        </w:rPr>
        <w:t>0</w:t>
      </w:r>
      <w:r>
        <w:rPr>
          <w:rFonts w:ascii="仿宋" w:eastAsia="仿宋" w:hAnsi="仿宋" w:cs="仿宋" w:hint="eastAsia"/>
          <w:color w:val="000000"/>
          <w:highlight w:val="white"/>
          <w:lang w:bidi="ar"/>
        </w:rPr>
        <w:t>万元,占0%；</w:t>
      </w:r>
      <w:r>
        <w:rPr>
          <w:rFonts w:ascii="仿宋" w:eastAsia="仿宋" w:hAnsi="仿宋" w:cs="仿宋" w:hint="eastAsia"/>
          <w:color w:val="000000"/>
          <w:highlight w:val="white"/>
          <w:lang w:bidi="ar"/>
        </w:rPr>
        <w:lastRenderedPageBreak/>
        <w:t>社会保障和就业（类）支出</w:t>
      </w:r>
      <w:r>
        <w:rPr>
          <w:rFonts w:ascii="仿宋" w:eastAsia="仿宋" w:hAnsi="仿宋" w:cs="仿宋" w:hint="eastAsia"/>
          <w:highlight w:val="white"/>
          <w:lang w:bidi="ar"/>
        </w:rPr>
        <w:t>16.32</w:t>
      </w:r>
      <w:r>
        <w:rPr>
          <w:rFonts w:ascii="仿宋" w:eastAsia="仿宋" w:hAnsi="仿宋" w:cs="仿宋" w:hint="eastAsia"/>
          <w:color w:val="000000"/>
          <w:highlight w:val="white"/>
          <w:lang w:bidi="ar"/>
        </w:rPr>
        <w:t>万元,占0.18%；卫生健康（类）支出</w:t>
      </w:r>
      <w:r>
        <w:rPr>
          <w:rFonts w:ascii="仿宋" w:eastAsia="仿宋" w:hAnsi="仿宋" w:cs="仿宋" w:hint="eastAsia"/>
          <w:highlight w:val="white"/>
          <w:lang w:bidi="ar"/>
        </w:rPr>
        <w:t>101.06</w:t>
      </w:r>
      <w:r>
        <w:rPr>
          <w:rFonts w:ascii="仿宋" w:eastAsia="仿宋" w:hAnsi="仿宋" w:cs="仿宋" w:hint="eastAsia"/>
          <w:color w:val="000000"/>
          <w:highlight w:val="white"/>
          <w:lang w:bidi="ar"/>
        </w:rPr>
        <w:t>万元,占1.08%；节能环保（类）支出</w:t>
      </w:r>
      <w:r>
        <w:rPr>
          <w:rFonts w:ascii="仿宋" w:eastAsia="仿宋" w:hAnsi="仿宋" w:cs="仿宋" w:hint="eastAsia"/>
          <w:highlight w:val="white"/>
          <w:lang w:bidi="ar"/>
        </w:rPr>
        <w:t>0</w:t>
      </w:r>
      <w:r>
        <w:rPr>
          <w:rFonts w:ascii="仿宋" w:eastAsia="仿宋" w:hAnsi="仿宋" w:cs="仿宋" w:hint="eastAsia"/>
          <w:color w:val="000000"/>
          <w:highlight w:val="white"/>
          <w:lang w:bidi="ar"/>
        </w:rPr>
        <w:t>万元,占0%；城乡社区（类）支出</w:t>
      </w:r>
      <w:r>
        <w:rPr>
          <w:rFonts w:ascii="仿宋" w:eastAsia="仿宋" w:hAnsi="仿宋" w:cs="仿宋" w:hint="eastAsia"/>
          <w:highlight w:val="white"/>
          <w:lang w:bidi="ar"/>
        </w:rPr>
        <w:t>0</w:t>
      </w:r>
      <w:r>
        <w:rPr>
          <w:rFonts w:ascii="仿宋" w:eastAsia="仿宋" w:hAnsi="仿宋" w:cs="仿宋" w:hint="eastAsia"/>
          <w:color w:val="000000"/>
          <w:highlight w:val="white"/>
          <w:lang w:bidi="ar"/>
        </w:rPr>
        <w:t>万元,占0%；农林水（类）支出</w:t>
      </w:r>
      <w:r>
        <w:rPr>
          <w:rFonts w:ascii="仿宋" w:eastAsia="仿宋" w:hAnsi="仿宋" w:cs="仿宋" w:hint="eastAsia"/>
          <w:highlight w:val="white"/>
          <w:lang w:bidi="ar"/>
        </w:rPr>
        <w:t>0</w:t>
      </w:r>
      <w:r>
        <w:rPr>
          <w:rFonts w:ascii="仿宋" w:eastAsia="仿宋" w:hAnsi="仿宋" w:cs="仿宋" w:hint="eastAsia"/>
          <w:color w:val="000000"/>
          <w:highlight w:val="white"/>
          <w:lang w:bidi="ar"/>
        </w:rPr>
        <w:t>万元,占0%；交通运输（类）支出</w:t>
      </w:r>
      <w:r>
        <w:rPr>
          <w:rFonts w:ascii="仿宋" w:eastAsia="仿宋" w:hAnsi="仿宋" w:cs="仿宋" w:hint="eastAsia"/>
          <w:highlight w:val="white"/>
          <w:lang w:bidi="ar"/>
        </w:rPr>
        <w:t>0</w:t>
      </w:r>
      <w:r>
        <w:rPr>
          <w:rFonts w:ascii="仿宋" w:eastAsia="仿宋" w:hAnsi="仿宋" w:cs="仿宋" w:hint="eastAsia"/>
          <w:color w:val="000000"/>
          <w:highlight w:val="white"/>
          <w:lang w:bidi="ar"/>
        </w:rPr>
        <w:t>万元,占0%；资源勘探工业信息等（类）支出</w:t>
      </w:r>
      <w:r>
        <w:rPr>
          <w:rFonts w:ascii="仿宋" w:eastAsia="仿宋" w:hAnsi="仿宋" w:cs="仿宋" w:hint="eastAsia"/>
          <w:highlight w:val="white"/>
          <w:lang w:bidi="ar"/>
        </w:rPr>
        <w:t>51.12</w:t>
      </w:r>
      <w:r>
        <w:rPr>
          <w:rFonts w:ascii="仿宋" w:eastAsia="仿宋" w:hAnsi="仿宋" w:cs="仿宋" w:hint="eastAsia"/>
          <w:color w:val="000000"/>
          <w:highlight w:val="white"/>
          <w:lang w:bidi="ar"/>
        </w:rPr>
        <w:t>万元,占0.55%；商业服务业等（类）支出</w:t>
      </w:r>
      <w:r>
        <w:rPr>
          <w:rFonts w:ascii="仿宋" w:eastAsia="仿宋" w:hAnsi="仿宋" w:cs="仿宋" w:hint="eastAsia"/>
          <w:highlight w:val="white"/>
          <w:lang w:bidi="ar"/>
        </w:rPr>
        <w:t>0</w:t>
      </w:r>
      <w:r>
        <w:rPr>
          <w:rFonts w:ascii="仿宋" w:eastAsia="仿宋" w:hAnsi="仿宋" w:cs="仿宋" w:hint="eastAsia"/>
          <w:color w:val="000000"/>
          <w:highlight w:val="white"/>
          <w:lang w:bidi="ar"/>
        </w:rPr>
        <w:t>万元,占0%；金融（类）支出</w:t>
      </w:r>
      <w:r>
        <w:rPr>
          <w:rFonts w:ascii="仿宋" w:eastAsia="仿宋" w:hAnsi="仿宋" w:cs="仿宋" w:hint="eastAsia"/>
          <w:highlight w:val="white"/>
          <w:lang w:bidi="ar"/>
        </w:rPr>
        <w:t>0</w:t>
      </w:r>
      <w:r>
        <w:rPr>
          <w:rFonts w:ascii="仿宋" w:eastAsia="仿宋" w:hAnsi="仿宋" w:cs="仿宋" w:hint="eastAsia"/>
          <w:color w:val="000000"/>
          <w:highlight w:val="white"/>
          <w:lang w:bidi="ar"/>
        </w:rPr>
        <w:t>万元,占0%；援助其他地区（类）支出</w:t>
      </w:r>
      <w:r>
        <w:rPr>
          <w:rFonts w:ascii="仿宋" w:eastAsia="仿宋" w:hAnsi="仿宋" w:cs="仿宋" w:hint="eastAsia"/>
          <w:highlight w:val="white"/>
          <w:lang w:bidi="ar"/>
        </w:rPr>
        <w:t>0</w:t>
      </w:r>
      <w:r>
        <w:rPr>
          <w:rFonts w:ascii="仿宋" w:eastAsia="仿宋" w:hAnsi="仿宋" w:cs="仿宋" w:hint="eastAsia"/>
          <w:color w:val="000000"/>
          <w:highlight w:val="white"/>
          <w:lang w:bidi="ar"/>
        </w:rPr>
        <w:t>万元,占0%；自然资源海洋气象等（类）支出</w:t>
      </w:r>
      <w:r>
        <w:rPr>
          <w:rFonts w:ascii="仿宋" w:eastAsia="仿宋" w:hAnsi="仿宋" w:cs="仿宋" w:hint="eastAsia"/>
          <w:highlight w:val="white"/>
          <w:lang w:bidi="ar"/>
        </w:rPr>
        <w:t>0</w:t>
      </w:r>
      <w:r>
        <w:rPr>
          <w:rFonts w:ascii="仿宋" w:eastAsia="仿宋" w:hAnsi="仿宋" w:cs="仿宋" w:hint="eastAsia"/>
          <w:color w:val="000000"/>
          <w:highlight w:val="white"/>
          <w:lang w:bidi="ar"/>
        </w:rPr>
        <w:t>万元,占0%；住房保障（类）支出</w:t>
      </w:r>
      <w:r>
        <w:rPr>
          <w:rFonts w:ascii="仿宋" w:eastAsia="仿宋" w:hAnsi="仿宋" w:cs="仿宋" w:hint="eastAsia"/>
          <w:highlight w:val="white"/>
          <w:lang w:bidi="ar"/>
        </w:rPr>
        <w:t>0</w:t>
      </w:r>
      <w:r>
        <w:rPr>
          <w:rFonts w:ascii="仿宋" w:eastAsia="仿宋" w:hAnsi="仿宋" w:cs="仿宋" w:hint="eastAsia"/>
          <w:color w:val="000000"/>
          <w:highlight w:val="white"/>
          <w:lang w:bidi="ar"/>
        </w:rPr>
        <w:t>万元,占0%；粮油物资储备（类）支出</w:t>
      </w:r>
      <w:r>
        <w:rPr>
          <w:rFonts w:ascii="仿宋" w:eastAsia="仿宋" w:hAnsi="仿宋" w:cs="仿宋" w:hint="eastAsia"/>
          <w:highlight w:val="white"/>
          <w:lang w:bidi="ar"/>
        </w:rPr>
        <w:t>0</w:t>
      </w:r>
      <w:r>
        <w:rPr>
          <w:rFonts w:ascii="仿宋" w:eastAsia="仿宋" w:hAnsi="仿宋" w:cs="仿宋" w:hint="eastAsia"/>
          <w:color w:val="000000"/>
          <w:highlight w:val="white"/>
          <w:lang w:bidi="ar"/>
        </w:rPr>
        <w:t>万元,占0%；灾害防治及应急管理（类）支出</w:t>
      </w:r>
      <w:r>
        <w:rPr>
          <w:rFonts w:ascii="仿宋" w:eastAsia="仿宋" w:hAnsi="仿宋" w:cs="仿宋" w:hint="eastAsia"/>
          <w:highlight w:val="white"/>
          <w:lang w:bidi="ar"/>
        </w:rPr>
        <w:t>0</w:t>
      </w:r>
      <w:r>
        <w:rPr>
          <w:rFonts w:ascii="仿宋" w:eastAsia="仿宋" w:hAnsi="仿宋" w:cs="仿宋" w:hint="eastAsia"/>
          <w:color w:val="000000"/>
          <w:highlight w:val="white"/>
          <w:lang w:bidi="ar"/>
        </w:rPr>
        <w:t>万元,占0%；其他（类）支出</w:t>
      </w:r>
      <w:r>
        <w:rPr>
          <w:rFonts w:ascii="仿宋" w:eastAsia="仿宋" w:hAnsi="仿宋" w:cs="仿宋" w:hint="eastAsia"/>
          <w:highlight w:val="white"/>
          <w:lang w:bidi="ar"/>
        </w:rPr>
        <w:t>0</w:t>
      </w:r>
      <w:r>
        <w:rPr>
          <w:rFonts w:ascii="仿宋" w:eastAsia="仿宋" w:hAnsi="仿宋" w:cs="仿宋" w:hint="eastAsia"/>
          <w:color w:val="000000"/>
          <w:highlight w:val="white"/>
          <w:lang w:bidi="ar"/>
        </w:rPr>
        <w:t>万元,占0%；债务还本（类）支出</w:t>
      </w:r>
      <w:r>
        <w:rPr>
          <w:rFonts w:ascii="仿宋" w:eastAsia="仿宋" w:hAnsi="仿宋" w:cs="仿宋" w:hint="eastAsia"/>
          <w:highlight w:val="white"/>
          <w:lang w:bidi="ar"/>
        </w:rPr>
        <w:t>0</w:t>
      </w:r>
      <w:r>
        <w:rPr>
          <w:rFonts w:ascii="仿宋" w:eastAsia="仿宋" w:hAnsi="仿宋" w:cs="仿宋" w:hint="eastAsia"/>
          <w:color w:val="000000"/>
          <w:highlight w:val="white"/>
          <w:lang w:bidi="ar"/>
        </w:rPr>
        <w:t>万元,占0%；债务付息（类）支出</w:t>
      </w:r>
      <w:r>
        <w:rPr>
          <w:rFonts w:ascii="仿宋" w:eastAsia="仿宋" w:hAnsi="仿宋" w:cs="仿宋" w:hint="eastAsia"/>
          <w:highlight w:val="white"/>
          <w:lang w:bidi="ar"/>
        </w:rPr>
        <w:t>0</w:t>
      </w:r>
      <w:r>
        <w:rPr>
          <w:rFonts w:ascii="仿宋" w:eastAsia="仿宋" w:hAnsi="仿宋" w:cs="仿宋" w:hint="eastAsia"/>
          <w:color w:val="000000"/>
          <w:highlight w:val="white"/>
          <w:lang w:bidi="ar"/>
        </w:rPr>
        <w:t>万元,占0%。</w:t>
      </w:r>
    </w:p>
    <w:p w14:paraId="7EC1678A" w14:textId="77777777" w:rsidR="00F0566E" w:rsidRDefault="00000000">
      <w:pPr>
        <w:widowControl/>
        <w:spacing w:line="324" w:lineRule="auto"/>
        <w:ind w:firstLine="606"/>
        <w:rPr>
          <w:rFonts w:ascii="仿宋" w:eastAsia="仿宋" w:hAnsi="仿宋" w:cs="仿宋"/>
          <w:color w:val="000000"/>
          <w:highlight w:val="white"/>
        </w:rPr>
      </w:pPr>
      <w:r>
        <w:rPr>
          <w:rFonts w:ascii="仿宋" w:eastAsia="仿宋" w:hAnsi="仿宋" w:cs="仿宋" w:hint="eastAsia"/>
          <w:b/>
          <w:color w:val="000000"/>
          <w:highlight w:val="white"/>
          <w:lang w:bidi="ar"/>
        </w:rPr>
        <w:t>3.一般公共预算财政拨款支出决算具体情况。</w:t>
      </w:r>
    </w:p>
    <w:p w14:paraId="5CAE028E"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highlight w:val="white"/>
          <w:lang w:bidi="ar"/>
        </w:rPr>
        <w:t>2021年度</w:t>
      </w:r>
      <w:r>
        <w:rPr>
          <w:rFonts w:ascii="仿宋" w:eastAsia="仿宋" w:hAnsi="仿宋" w:cs="仿宋" w:hint="eastAsia"/>
          <w:color w:val="000000"/>
          <w:highlight w:val="white"/>
          <w:lang w:bidi="ar"/>
        </w:rPr>
        <w:t>一般公共预算</w:t>
      </w:r>
      <w:r>
        <w:rPr>
          <w:rFonts w:ascii="仿宋" w:eastAsia="仿宋" w:hAnsi="仿宋" w:cs="仿宋" w:hint="eastAsia"/>
          <w:highlight w:val="white"/>
          <w:lang w:bidi="ar"/>
        </w:rPr>
        <w:t>财政拨款支出年初预算为</w:t>
      </w:r>
      <w:r>
        <w:rPr>
          <w:rFonts w:ascii="仿宋_GB2312" w:cs="仿宋_GB2312" w:hint="eastAsia"/>
          <w:color w:val="000000"/>
          <w:lang w:bidi="ar"/>
        </w:rPr>
        <w:t>8264.15</w:t>
      </w:r>
      <w:r>
        <w:rPr>
          <w:rFonts w:ascii="仿宋" w:eastAsia="仿宋" w:hAnsi="仿宋" w:cs="仿宋" w:hint="eastAsia"/>
          <w:highlight w:val="white"/>
          <w:lang w:bidi="ar"/>
        </w:rPr>
        <w:t>万元，支出决算为</w:t>
      </w:r>
      <w:r>
        <w:rPr>
          <w:rFonts w:ascii="仿宋" w:eastAsia="仿宋" w:hAnsi="仿宋" w:cs="仿宋" w:hint="eastAsia"/>
          <w:color w:val="000000"/>
          <w:highlight w:val="white"/>
          <w:lang w:bidi="ar"/>
        </w:rPr>
        <w:t>9,319.36万元</w:t>
      </w:r>
      <w:r>
        <w:rPr>
          <w:rFonts w:ascii="仿宋" w:eastAsia="仿宋" w:hAnsi="仿宋" w:cs="仿宋" w:hint="eastAsia"/>
          <w:highlight w:val="white"/>
          <w:lang w:bidi="ar"/>
        </w:rPr>
        <w:t>,完成年初预算的</w:t>
      </w:r>
      <w:r>
        <w:rPr>
          <w:rFonts w:ascii="仿宋" w:eastAsia="仿宋" w:hAnsi="仿宋" w:cs="仿宋" w:hint="eastAsia"/>
          <w:color w:val="000000"/>
          <w:highlight w:val="white"/>
          <w:lang w:bidi="ar"/>
        </w:rPr>
        <w:t>112.77%</w:t>
      </w:r>
      <w:r>
        <w:rPr>
          <w:rFonts w:ascii="仿宋" w:eastAsia="仿宋" w:hAnsi="仿宋" w:cs="仿宋" w:hint="eastAsia"/>
          <w:highlight w:val="white"/>
          <w:lang w:bidi="ar"/>
        </w:rPr>
        <w:t>，主要原因是：2021年度新追加</w:t>
      </w:r>
      <w:r>
        <w:rPr>
          <w:rFonts w:ascii="仿宋" w:eastAsia="仿宋" w:hAnsi="仿宋" w:cs="仿宋" w:hint="eastAsia"/>
          <w:color w:val="000000"/>
          <w:highlight w:val="white"/>
          <w:lang w:bidi="ar"/>
        </w:rPr>
        <w:t>新增其他支持中小企业发展和管理支出和强制检定经费等项目</w:t>
      </w:r>
      <w:r>
        <w:rPr>
          <w:rFonts w:ascii="仿宋" w:eastAsia="仿宋" w:hAnsi="仿宋" w:cs="仿宋" w:hint="eastAsia"/>
          <w:highlight w:val="white"/>
          <w:lang w:bidi="ar"/>
        </w:rPr>
        <w:t>。</w:t>
      </w:r>
      <w:r>
        <w:rPr>
          <w:rFonts w:ascii="仿宋" w:eastAsia="仿宋" w:hAnsi="仿宋" w:cs="仿宋" w:hint="eastAsia"/>
          <w:color w:val="000000"/>
          <w:highlight w:val="white"/>
          <w:lang w:bidi="ar"/>
        </w:rPr>
        <w:t>其中：</w:t>
      </w:r>
    </w:p>
    <w:p w14:paraId="1AA4F14E"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一般公共服务支出（类）市场监督管理事务（款）行政运行（项）。年初预算为</w:t>
      </w:r>
      <w:r>
        <w:rPr>
          <w:rFonts w:ascii="仿宋_GB2312" w:cs="仿宋_GB2312" w:hint="eastAsia"/>
          <w:color w:val="000000"/>
          <w:lang w:bidi="ar"/>
        </w:rPr>
        <w:t>5186.24</w:t>
      </w:r>
      <w:r>
        <w:rPr>
          <w:rFonts w:ascii="仿宋" w:eastAsia="仿宋" w:hAnsi="仿宋" w:cs="仿宋" w:hint="eastAsia"/>
          <w:color w:val="000000"/>
          <w:highlight w:val="white"/>
          <w:lang w:bidi="ar"/>
        </w:rPr>
        <w:t>万元，支出决算为5013.66万元，完成年初预算的96.67%，决算数小于预算数的主要原因人员经费减少。</w:t>
      </w:r>
    </w:p>
    <w:p w14:paraId="44CA1082"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一般公共服务支出（类）市场监督管理事务（款）质量基础（项）。年初预算为0万元，支出决算为112.17万元，完成</w:t>
      </w:r>
      <w:r>
        <w:rPr>
          <w:rFonts w:ascii="仿宋" w:eastAsia="仿宋" w:hAnsi="仿宋" w:cs="仿宋" w:hint="eastAsia"/>
          <w:color w:val="000000"/>
          <w:highlight w:val="white"/>
          <w:lang w:bidi="ar"/>
        </w:rPr>
        <w:lastRenderedPageBreak/>
        <w:t>年初预算的100%，决算数大于预算数的主要原因该项目为2021年度新追加其他支持中小企业发展和管理及项目经费强制检定经费等支出。</w:t>
      </w:r>
    </w:p>
    <w:p w14:paraId="16E81688"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一般公共服务支出（类）市场监督管理事务（款）其他市场监督管理事务（项）。年初预算为</w:t>
      </w:r>
      <w:r>
        <w:rPr>
          <w:rFonts w:ascii="仿宋_GB2312" w:cs="仿宋_GB2312" w:hint="eastAsia"/>
          <w:color w:val="000000"/>
          <w:lang w:bidi="ar"/>
        </w:rPr>
        <w:t>2455</w:t>
      </w:r>
      <w:r>
        <w:rPr>
          <w:rFonts w:ascii="仿宋" w:eastAsia="仿宋" w:hAnsi="仿宋" w:cs="仿宋" w:hint="eastAsia"/>
          <w:color w:val="000000"/>
          <w:highlight w:val="white"/>
          <w:lang w:bidi="ar"/>
        </w:rPr>
        <w:t>万元，支出决算为3500.47万元，完成年初预算的142.59%，决算数大于预算数的主要原因为2021年度新追加基建款。</w:t>
      </w:r>
    </w:p>
    <w:p w14:paraId="60B527EF"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社会保障和就业支出（类）抚恤（款）死亡抚恤（项）。年初预算为</w:t>
      </w:r>
      <w:r>
        <w:rPr>
          <w:rFonts w:ascii="仿宋_GB2312" w:cs="仿宋_GB2312" w:hint="eastAsia"/>
          <w:color w:val="000000"/>
          <w:lang w:bidi="ar"/>
        </w:rPr>
        <w:t>0</w:t>
      </w:r>
      <w:r>
        <w:rPr>
          <w:rFonts w:ascii="仿宋" w:eastAsia="仿宋" w:hAnsi="仿宋" w:cs="仿宋" w:hint="eastAsia"/>
          <w:color w:val="000000"/>
          <w:highlight w:val="white"/>
          <w:lang w:bidi="ar"/>
        </w:rPr>
        <w:t>万元，支出决算为16.32万元，完成年初预算的100%，决算数大于预算数的主要原因为</w:t>
      </w:r>
      <w:r>
        <w:rPr>
          <w:rFonts w:ascii="仿宋_GB2312" w:hAnsi="仿宋" w:cs="仿宋_GB2312" w:hint="eastAsia"/>
          <w:lang w:bidi="ar"/>
        </w:rPr>
        <w:t>死亡抚恤一般不安排预算，实际发生支出时，另行追加</w:t>
      </w:r>
      <w:r>
        <w:rPr>
          <w:rFonts w:ascii="仿宋" w:eastAsia="仿宋" w:hAnsi="仿宋" w:cs="仿宋" w:hint="eastAsia"/>
          <w:color w:val="000000"/>
          <w:highlight w:val="white"/>
          <w:lang w:bidi="ar"/>
        </w:rPr>
        <w:t>。</w:t>
      </w:r>
    </w:p>
    <w:p w14:paraId="20C9F56F"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卫生健康支出（类）行政事业单位医疗（款）行政单位医疗（项）。年初预算为</w:t>
      </w:r>
      <w:r>
        <w:rPr>
          <w:rFonts w:ascii="仿宋_GB2312" w:cs="仿宋_GB2312" w:hint="eastAsia"/>
          <w:color w:val="000000"/>
          <w:lang w:bidi="ar"/>
        </w:rPr>
        <w:t>105.36</w:t>
      </w:r>
      <w:r>
        <w:rPr>
          <w:rFonts w:ascii="仿宋" w:eastAsia="仿宋" w:hAnsi="仿宋" w:cs="仿宋" w:hint="eastAsia"/>
          <w:color w:val="000000"/>
          <w:highlight w:val="white"/>
          <w:lang w:bidi="ar"/>
        </w:rPr>
        <w:t>万元，支出决算为81.89万元，完成年初预算的77.72%，决算数小于预算数的主要原因2021年度人员减少，医疗保险缴费减少。</w:t>
      </w:r>
    </w:p>
    <w:p w14:paraId="7ED97598"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卫生健康支出（类）行政事业单位医疗（款）事业单位医疗（项）。年初预算为</w:t>
      </w:r>
      <w:r>
        <w:rPr>
          <w:rFonts w:ascii="仿宋_GB2312" w:cs="仿宋_GB2312" w:hint="eastAsia"/>
          <w:color w:val="000000"/>
          <w:lang w:bidi="ar"/>
        </w:rPr>
        <w:t>6.25</w:t>
      </w:r>
      <w:r>
        <w:rPr>
          <w:rFonts w:ascii="仿宋" w:eastAsia="仿宋" w:hAnsi="仿宋" w:cs="仿宋" w:hint="eastAsia"/>
          <w:color w:val="000000"/>
          <w:highlight w:val="white"/>
          <w:lang w:bidi="ar"/>
        </w:rPr>
        <w:t>万元，支出决算为6.25万元，完成年初预算的100%。</w:t>
      </w:r>
    </w:p>
    <w:p w14:paraId="778132FD"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资源勘探工业信息等支出（类）支持中小企业发展和管理支出（款）其他支持中小企业发展和管理支出（项）。年初预算为</w:t>
      </w:r>
      <w:r>
        <w:rPr>
          <w:rFonts w:ascii="仿宋_GB2312" w:cs="仿宋_GB2312" w:hint="eastAsia"/>
          <w:color w:val="000000"/>
          <w:lang w:bidi="ar"/>
        </w:rPr>
        <w:t>0</w:t>
      </w:r>
      <w:r>
        <w:rPr>
          <w:rFonts w:ascii="仿宋" w:eastAsia="仿宋" w:hAnsi="仿宋" w:cs="仿宋" w:hint="eastAsia"/>
          <w:color w:val="000000"/>
          <w:highlight w:val="white"/>
          <w:lang w:bidi="ar"/>
        </w:rPr>
        <w:t>万元，支出决算为51.12万元，完成年初预算的100%，决</w:t>
      </w:r>
      <w:r>
        <w:rPr>
          <w:rFonts w:ascii="仿宋" w:eastAsia="仿宋" w:hAnsi="仿宋" w:cs="仿宋" w:hint="eastAsia"/>
          <w:color w:val="000000"/>
          <w:highlight w:val="white"/>
          <w:lang w:bidi="ar"/>
        </w:rPr>
        <w:lastRenderedPageBreak/>
        <w:t>算数大于预算数的主要原因2021年度新追加其他支持中小企业发展和管理支出。</w:t>
      </w:r>
    </w:p>
    <w:p w14:paraId="328E0DF8" w14:textId="77777777" w:rsidR="00F0566E" w:rsidRDefault="00000000">
      <w:pPr>
        <w:widowControl/>
        <w:spacing w:line="324" w:lineRule="auto"/>
        <w:ind w:firstLine="594"/>
        <w:rPr>
          <w:rFonts w:eastAsia="宋体" w:cs="宋体"/>
          <w:sz w:val="24"/>
          <w:szCs w:val="24"/>
        </w:rPr>
      </w:pPr>
      <w:r>
        <w:rPr>
          <w:rFonts w:ascii="仿宋" w:eastAsia="仿宋" w:hAnsi="仿宋" w:cs="仿宋" w:hint="eastAsia"/>
          <w:color w:val="000000"/>
          <w:highlight w:val="white"/>
          <w:lang w:bidi="ar"/>
        </w:rPr>
        <w:t>一般公共服务支出（类）市场监督管理事务（款）事业运行（项）事业运行。年初预算为511.30万元，支出决算为537.47万元，完成年初预算的105.12%，决算数大于预算数的主要原因：人员工资正常晋升、新招聘3人等因素追加人员经费26.17万元。</w:t>
      </w:r>
    </w:p>
    <w:p w14:paraId="0EBAB8E4" w14:textId="77777777" w:rsidR="00F0566E" w:rsidRDefault="00000000">
      <w:pPr>
        <w:widowControl/>
        <w:spacing w:line="324" w:lineRule="auto"/>
        <w:ind w:firstLine="594"/>
        <w:rPr>
          <w:rFonts w:cs="Times New Roman"/>
          <w:color w:val="000000"/>
          <w:highlight w:val="white"/>
        </w:rPr>
      </w:pPr>
      <w:r>
        <w:rPr>
          <w:rFonts w:ascii="楷体" w:eastAsia="楷体" w:hAnsi="楷体" w:cs="楷体" w:hint="eastAsia"/>
          <w:b/>
          <w:color w:val="000000"/>
          <w:highlight w:val="white"/>
          <w:lang w:bidi="ar"/>
        </w:rPr>
        <w:t>（六）一般公共预算财政拨款基本支出决算情况说明</w:t>
      </w:r>
    </w:p>
    <w:p w14:paraId="2C53B57B"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2021年度一般公共预算财政拨款基本支出5,639.28万元，其中：</w:t>
      </w:r>
    </w:p>
    <w:p w14:paraId="2266016F"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人员经费5,212.93万元，主要包括：基本工资、津贴补贴、奖金、伙食补助费、绩效工资、机关事业单位基本养老保险缴费、职业年金缴费、职工基本医疗保险缴费、其他社会保障缴费、住房公积金、其他工资福利支出、对个人和家庭的补助、生活补助</w:t>
      </w:r>
      <w:r>
        <w:rPr>
          <w:rFonts w:ascii="仿宋" w:eastAsia="仿宋" w:hAnsi="仿宋" w:cs="仿宋" w:hint="eastAsia"/>
          <w:color w:val="000000"/>
          <w:sz w:val="28"/>
          <w:szCs w:val="28"/>
          <w:highlight w:val="white"/>
          <w:lang w:bidi="ar"/>
        </w:rPr>
        <w:t>等</w:t>
      </w:r>
      <w:r>
        <w:rPr>
          <w:rFonts w:ascii="仿宋" w:eastAsia="仿宋" w:hAnsi="仿宋" w:cs="仿宋" w:hint="eastAsia"/>
          <w:color w:val="000000"/>
          <w:highlight w:val="white"/>
          <w:lang w:bidi="ar"/>
        </w:rPr>
        <w:t>。</w:t>
      </w:r>
    </w:p>
    <w:p w14:paraId="3E51B952"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公用经费426.35万元，主要包括：办公费、印刷费、水费、电费、邮电费、物业管理费、差旅费、维修（护）费、会议费、培训费、公务接待费、委托业务费、工会经费、福利费、公务用车运行维护费、其他交通费、其他商品和服务、</w:t>
      </w:r>
      <w:r>
        <w:rPr>
          <w:rFonts w:ascii="仿宋" w:eastAsia="仿宋" w:hAnsi="仿宋" w:cs="仿宋" w:hint="eastAsia"/>
          <w:color w:val="000000"/>
          <w:sz w:val="28"/>
          <w:szCs w:val="28"/>
          <w:highlight w:val="white"/>
          <w:lang w:bidi="ar"/>
        </w:rPr>
        <w:t>办公设备购置等</w:t>
      </w:r>
      <w:r>
        <w:rPr>
          <w:rFonts w:ascii="仿宋" w:eastAsia="仿宋" w:hAnsi="仿宋" w:cs="仿宋" w:hint="eastAsia"/>
          <w:color w:val="000000"/>
          <w:highlight w:val="white"/>
          <w:lang w:bidi="ar"/>
        </w:rPr>
        <w:t>。</w:t>
      </w:r>
    </w:p>
    <w:p w14:paraId="603F48E4" w14:textId="77777777" w:rsidR="00F0566E" w:rsidRDefault="00000000">
      <w:pPr>
        <w:widowControl/>
        <w:spacing w:line="324" w:lineRule="auto"/>
        <w:ind w:firstLine="594"/>
        <w:rPr>
          <w:rFonts w:ascii="楷体" w:eastAsia="楷体" w:hAnsi="楷体" w:cs="楷体"/>
          <w:b/>
          <w:color w:val="000000"/>
          <w:highlight w:val="white"/>
        </w:rPr>
      </w:pPr>
      <w:r>
        <w:rPr>
          <w:rFonts w:ascii="楷体" w:eastAsia="楷体" w:hAnsi="楷体" w:cs="楷体" w:hint="eastAsia"/>
          <w:b/>
          <w:color w:val="000000"/>
          <w:highlight w:val="white"/>
          <w:lang w:bidi="ar"/>
        </w:rPr>
        <w:t>（七）政府性基金预算财政拨款支出决算总体情况说明</w:t>
      </w:r>
    </w:p>
    <w:p w14:paraId="76DC4551" w14:textId="77777777" w:rsidR="00F0566E" w:rsidRDefault="00000000">
      <w:pPr>
        <w:widowControl/>
        <w:spacing w:line="324" w:lineRule="auto"/>
        <w:ind w:firstLineChars="200" w:firstLine="640"/>
        <w:rPr>
          <w:rFonts w:ascii="仿宋" w:eastAsia="仿宋" w:hAnsi="仿宋" w:cs="仿宋"/>
          <w:color w:val="000000"/>
          <w:highlight w:val="white"/>
        </w:rPr>
      </w:pPr>
      <w:r>
        <w:rPr>
          <w:rFonts w:ascii="仿宋" w:eastAsia="仿宋" w:hAnsi="仿宋" w:cs="仿宋" w:hint="eastAsia"/>
          <w:color w:val="000000"/>
          <w:highlight w:val="white"/>
          <w:lang w:bidi="ar"/>
        </w:rPr>
        <w:lastRenderedPageBreak/>
        <w:t>本部门2020年度和2021年度均无政府性基金预算财政拨款收支安排，故无相关数据。</w:t>
      </w:r>
    </w:p>
    <w:p w14:paraId="7B5C233E" w14:textId="77777777" w:rsidR="00F0566E" w:rsidRDefault="00000000">
      <w:pPr>
        <w:widowControl/>
        <w:spacing w:line="324" w:lineRule="auto"/>
        <w:ind w:firstLineChars="200" w:firstLine="643"/>
        <w:rPr>
          <w:rFonts w:eastAsia="宋体" w:cs="宋体"/>
          <w:sz w:val="21"/>
          <w:szCs w:val="21"/>
        </w:rPr>
      </w:pPr>
      <w:r>
        <w:rPr>
          <w:rFonts w:ascii="楷体" w:eastAsia="楷体" w:hAnsi="楷体" w:cs="楷体" w:hint="eastAsia"/>
          <w:b/>
          <w:color w:val="000000"/>
          <w:highlight w:val="white"/>
          <w:lang w:bidi="ar"/>
        </w:rPr>
        <w:t>（八）国有资本经营预算财政拨款支出决算总体情况说明</w:t>
      </w:r>
    </w:p>
    <w:p w14:paraId="18C0F43E" w14:textId="77777777" w:rsidR="00F0566E" w:rsidRDefault="00000000">
      <w:pPr>
        <w:widowControl/>
        <w:spacing w:line="324" w:lineRule="auto"/>
        <w:ind w:firstLineChars="200" w:firstLine="640"/>
        <w:rPr>
          <w:rFonts w:ascii="仿宋" w:eastAsia="仿宋" w:hAnsi="仿宋" w:cs="仿宋"/>
          <w:color w:val="000000"/>
          <w:highlight w:val="white"/>
        </w:rPr>
      </w:pPr>
      <w:r>
        <w:rPr>
          <w:rFonts w:ascii="仿宋" w:eastAsia="仿宋" w:hAnsi="仿宋" w:cs="仿宋" w:hint="eastAsia"/>
          <w:color w:val="000000"/>
          <w:highlight w:val="white"/>
          <w:lang w:bidi="ar"/>
        </w:rPr>
        <w:t>本部门2021年度无政府性基金预算财政拨款收支安排。</w:t>
      </w:r>
    </w:p>
    <w:p w14:paraId="3D66A599" w14:textId="77777777" w:rsidR="00F0566E" w:rsidRDefault="00000000">
      <w:pPr>
        <w:widowControl/>
        <w:spacing w:line="324" w:lineRule="auto"/>
        <w:ind w:firstLine="594"/>
        <w:rPr>
          <w:rFonts w:cs="Times New Roman"/>
          <w:b/>
          <w:color w:val="000000"/>
          <w:highlight w:val="white"/>
        </w:rPr>
      </w:pPr>
      <w:r>
        <w:rPr>
          <w:rFonts w:ascii="楷体" w:eastAsia="楷体" w:hAnsi="楷体" w:cs="楷体" w:hint="eastAsia"/>
          <w:b/>
          <w:color w:val="000000"/>
          <w:highlight w:val="white"/>
          <w:lang w:bidi="ar"/>
        </w:rPr>
        <w:t>（九）一般公共预算财政拨款“三公”经费支出决算情况说明</w:t>
      </w:r>
    </w:p>
    <w:p w14:paraId="25EBA577" w14:textId="77777777" w:rsidR="00F0566E" w:rsidRDefault="00000000">
      <w:pPr>
        <w:widowControl/>
        <w:spacing w:line="324" w:lineRule="auto"/>
        <w:ind w:firstLine="594"/>
        <w:rPr>
          <w:rFonts w:ascii="仿宋" w:eastAsia="仿宋" w:hAnsi="仿宋" w:cs="仿宋"/>
          <w:b/>
          <w:color w:val="000000"/>
          <w:highlight w:val="white"/>
        </w:rPr>
      </w:pPr>
      <w:r>
        <w:rPr>
          <w:rFonts w:ascii="仿宋" w:eastAsia="仿宋" w:hAnsi="仿宋" w:cs="仿宋" w:hint="eastAsia"/>
          <w:b/>
          <w:color w:val="000000"/>
          <w:highlight w:val="white"/>
          <w:lang w:bidi="ar"/>
        </w:rPr>
        <w:t xml:space="preserve">1.“三公”经费一般公共预算财政拨款支出决算总体情况说明。 </w:t>
      </w:r>
    </w:p>
    <w:p w14:paraId="5C3799A0"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2021年度“三公”经费一般公共预算财政拨款支出预算为</w:t>
      </w:r>
      <w:r>
        <w:rPr>
          <w:rFonts w:ascii="仿宋_GB2312" w:cs="仿宋_GB2312" w:hint="eastAsia"/>
          <w:color w:val="000000"/>
          <w:lang w:bidi="ar"/>
        </w:rPr>
        <w:t>83.74</w:t>
      </w:r>
      <w:r>
        <w:rPr>
          <w:rFonts w:ascii="仿宋" w:eastAsia="仿宋" w:hAnsi="仿宋" w:cs="仿宋" w:hint="eastAsia"/>
          <w:color w:val="000000"/>
          <w:highlight w:val="white"/>
          <w:lang w:bidi="ar"/>
        </w:rPr>
        <w:t>万元，支出决算为47.11万元，完成预算的56.26%,2021年度“三公”经费支出决算数小于预算数的主要原因是</w:t>
      </w:r>
      <w:r>
        <w:rPr>
          <w:rFonts w:ascii="仿宋_GB2312" w:cs="仿宋_GB2312" w:hint="eastAsia"/>
          <w:color w:val="000000"/>
          <w:highlight w:val="white"/>
          <w:lang w:bidi="ar"/>
        </w:rPr>
        <w:t>我单位进一步严格控制“三公”经费的开支</w:t>
      </w:r>
      <w:r>
        <w:rPr>
          <w:rFonts w:ascii="仿宋" w:eastAsia="仿宋" w:hAnsi="仿宋" w:cs="仿宋" w:hint="eastAsia"/>
          <w:color w:val="000000"/>
          <w:highlight w:val="white"/>
          <w:lang w:bidi="ar"/>
        </w:rPr>
        <w:t>。</w:t>
      </w:r>
    </w:p>
    <w:p w14:paraId="5C0D6F55" w14:textId="77777777" w:rsidR="00F0566E" w:rsidRDefault="00000000">
      <w:pPr>
        <w:widowControl/>
        <w:spacing w:line="324" w:lineRule="auto"/>
        <w:ind w:firstLine="594"/>
        <w:rPr>
          <w:rFonts w:ascii="仿宋" w:eastAsia="仿宋" w:hAnsi="仿宋" w:cs="仿宋"/>
          <w:b/>
          <w:color w:val="000000"/>
          <w:highlight w:val="white"/>
        </w:rPr>
      </w:pPr>
      <w:r>
        <w:rPr>
          <w:rFonts w:ascii="仿宋" w:eastAsia="仿宋" w:hAnsi="仿宋" w:cs="仿宋" w:hint="eastAsia"/>
          <w:b/>
          <w:color w:val="000000"/>
          <w:highlight w:val="white"/>
          <w:lang w:bidi="ar"/>
        </w:rPr>
        <w:t>2.“三公”经费一般公共预算财政拨款支出决算具体情况说明。</w:t>
      </w:r>
    </w:p>
    <w:p w14:paraId="0A74F26A"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2021年度“三公”经费一般公共预算财政拨款支出决算中，因公出国（境）费用支出决算为0万元，占0%，与2020年度相比，无变化；公务用车购置及运行维护费支出决算为43.07万元，占91.43%，与2020年度相比，增加3.16万元，增长7.92%，主要原因是根据机构改革需要，原兰溪市食品药品质量检测中心于2020年8月份整体并入，公务用车运行维护费开支增加；公务接待费支出决算为4.04万元，占8.57%，与2020年度相比，</w:t>
      </w:r>
      <w:r>
        <w:rPr>
          <w:rFonts w:ascii="仿宋" w:eastAsia="仿宋" w:hAnsi="仿宋" w:cs="仿宋" w:hint="eastAsia"/>
          <w:color w:val="000000"/>
          <w:highlight w:val="white"/>
          <w:lang w:bidi="ar"/>
        </w:rPr>
        <w:lastRenderedPageBreak/>
        <w:t>减少0.21万元，下降4.94%，主要原因是严格控制公务接待开支。具体情况如下：</w:t>
      </w:r>
    </w:p>
    <w:p w14:paraId="43847A84"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b/>
          <w:color w:val="000000"/>
          <w:highlight w:val="white"/>
          <w:lang w:bidi="ar"/>
        </w:rPr>
        <w:t>（1）因公出国（境）费</w:t>
      </w:r>
      <w:r>
        <w:rPr>
          <w:rFonts w:ascii="仿宋" w:eastAsia="仿宋" w:hAnsi="仿宋" w:cs="仿宋" w:hint="eastAsia"/>
          <w:color w:val="000000"/>
          <w:highlight w:val="white"/>
          <w:lang w:bidi="ar"/>
        </w:rPr>
        <w:t>预算数为0万元，支出决算为</w:t>
      </w:r>
      <w:r>
        <w:rPr>
          <w:rFonts w:ascii="仿宋" w:eastAsia="仿宋" w:hAnsi="仿宋" w:cs="仿宋" w:hint="eastAsia"/>
          <w:sz w:val="30"/>
          <w:szCs w:val="30"/>
          <w:highlight w:val="white"/>
          <w:lang w:bidi="ar"/>
        </w:rPr>
        <w:t>0</w:t>
      </w:r>
      <w:r>
        <w:rPr>
          <w:rFonts w:ascii="仿宋" w:eastAsia="仿宋" w:hAnsi="仿宋" w:cs="仿宋" w:hint="eastAsia"/>
          <w:color w:val="000000"/>
          <w:highlight w:val="white"/>
          <w:lang w:bidi="ar"/>
        </w:rPr>
        <w:t>万元。完成预算的0%。主要用于机关及下属预算单位人员等公务出国（境）的住宿费、国际旅费、培训费、公杂费等支出。全年使用一般公共预算财政拨款支出涉及因公出国(境)团组0个；累计</w:t>
      </w:r>
      <w:r>
        <w:rPr>
          <w:rFonts w:ascii="仿宋" w:eastAsia="仿宋" w:hAnsi="仿宋" w:cs="仿宋" w:hint="eastAsia"/>
          <w:sz w:val="30"/>
          <w:szCs w:val="30"/>
          <w:highlight w:val="white"/>
          <w:lang w:bidi="ar"/>
        </w:rPr>
        <w:t>0</w:t>
      </w:r>
      <w:r>
        <w:rPr>
          <w:rFonts w:ascii="仿宋" w:eastAsia="仿宋" w:hAnsi="仿宋" w:cs="仿宋" w:hint="eastAsia"/>
          <w:color w:val="000000"/>
          <w:highlight w:val="white"/>
          <w:lang w:bidi="ar"/>
        </w:rPr>
        <w:t>人次。</w:t>
      </w:r>
    </w:p>
    <w:p w14:paraId="4C5CE1A9"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b/>
          <w:color w:val="000000"/>
          <w:highlight w:val="white"/>
          <w:lang w:bidi="ar"/>
        </w:rPr>
        <w:t>（2）公务用车购置及运行维护费</w:t>
      </w:r>
      <w:r>
        <w:rPr>
          <w:rFonts w:ascii="仿宋" w:eastAsia="仿宋" w:hAnsi="仿宋" w:cs="仿宋" w:hint="eastAsia"/>
          <w:color w:val="000000"/>
          <w:highlight w:val="white"/>
          <w:lang w:bidi="ar"/>
        </w:rPr>
        <w:t>预算数为</w:t>
      </w:r>
      <w:r>
        <w:rPr>
          <w:rFonts w:ascii="仿宋_GB2312" w:cs="仿宋_GB2312" w:hint="eastAsia"/>
          <w:color w:val="000000"/>
          <w:lang w:bidi="ar"/>
        </w:rPr>
        <w:t>62.94</w:t>
      </w:r>
      <w:r>
        <w:rPr>
          <w:rFonts w:ascii="仿宋" w:eastAsia="仿宋" w:hAnsi="仿宋" w:cs="仿宋" w:hint="eastAsia"/>
          <w:color w:val="000000"/>
          <w:highlight w:val="white"/>
          <w:lang w:bidi="ar"/>
        </w:rPr>
        <w:t>万元，支出决算为43.07万元，完成预算的68.43%。决算数小于预算数的主要原因是严格控公务用车购置及运行维护费的支出。</w:t>
      </w:r>
    </w:p>
    <w:p w14:paraId="2249E3B8"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b/>
          <w:color w:val="000000"/>
          <w:highlight w:val="white"/>
          <w:lang w:bidi="ar"/>
        </w:rPr>
        <w:t>公务用车购置</w:t>
      </w:r>
      <w:r>
        <w:rPr>
          <w:rFonts w:ascii="仿宋" w:eastAsia="仿宋" w:hAnsi="仿宋" w:cs="仿宋" w:hint="eastAsia"/>
          <w:color w:val="000000"/>
          <w:highlight w:val="white"/>
          <w:lang w:bidi="ar"/>
        </w:rPr>
        <w:t>预算数为0万元，支出决算为</w:t>
      </w:r>
      <w:r>
        <w:rPr>
          <w:rFonts w:ascii="仿宋" w:eastAsia="仿宋" w:hAnsi="仿宋" w:cs="仿宋" w:hint="eastAsia"/>
          <w:sz w:val="30"/>
          <w:szCs w:val="30"/>
          <w:highlight w:val="white"/>
          <w:lang w:bidi="ar"/>
        </w:rPr>
        <w:t>0</w:t>
      </w:r>
      <w:r>
        <w:rPr>
          <w:rFonts w:ascii="仿宋" w:eastAsia="仿宋" w:hAnsi="仿宋" w:cs="仿宋" w:hint="eastAsia"/>
          <w:color w:val="000000"/>
          <w:highlight w:val="white"/>
          <w:lang w:bidi="ar"/>
        </w:rPr>
        <w:t>万元（含购置税等附加费用），完成预算的0%。</w:t>
      </w:r>
      <w:proofErr w:type="gramStart"/>
      <w:r>
        <w:rPr>
          <w:rFonts w:ascii="仿宋" w:eastAsia="仿宋" w:hAnsi="仿宋" w:cs="仿宋" w:hint="eastAsia"/>
          <w:color w:val="000000"/>
          <w:highlight w:val="white"/>
          <w:lang w:bidi="ar"/>
        </w:rPr>
        <w:t>决主要</w:t>
      </w:r>
      <w:proofErr w:type="gramEnd"/>
      <w:r>
        <w:rPr>
          <w:rFonts w:ascii="仿宋" w:eastAsia="仿宋" w:hAnsi="仿宋" w:cs="仿宋" w:hint="eastAsia"/>
          <w:color w:val="000000"/>
          <w:highlight w:val="white"/>
          <w:lang w:bidi="ar"/>
        </w:rPr>
        <w:t>用于经批准购置的</w:t>
      </w:r>
      <w:r>
        <w:rPr>
          <w:rFonts w:ascii="仿宋" w:eastAsia="仿宋" w:hAnsi="仿宋" w:cs="仿宋" w:hint="eastAsia"/>
          <w:sz w:val="30"/>
          <w:szCs w:val="30"/>
          <w:highlight w:val="white"/>
          <w:lang w:bidi="ar"/>
        </w:rPr>
        <w:t>0</w:t>
      </w:r>
      <w:r>
        <w:rPr>
          <w:rFonts w:ascii="仿宋" w:eastAsia="仿宋" w:hAnsi="仿宋" w:cs="仿宋" w:hint="eastAsia"/>
          <w:color w:val="000000"/>
          <w:highlight w:val="white"/>
          <w:lang w:bidi="ar"/>
        </w:rPr>
        <w:t>辆公务用车；</w:t>
      </w:r>
    </w:p>
    <w:p w14:paraId="07B1BCB9" w14:textId="77777777" w:rsidR="00F0566E" w:rsidRDefault="00000000">
      <w:pPr>
        <w:widowControl/>
        <w:spacing w:line="560" w:lineRule="exact"/>
        <w:ind w:firstLine="594"/>
        <w:rPr>
          <w:rFonts w:ascii="仿宋" w:eastAsia="仿宋" w:hAnsi="仿宋" w:cs="仿宋"/>
          <w:color w:val="000000"/>
          <w:highlight w:val="white"/>
        </w:rPr>
      </w:pPr>
      <w:r>
        <w:rPr>
          <w:rFonts w:ascii="仿宋" w:eastAsia="仿宋" w:hAnsi="仿宋" w:cs="仿宋" w:hint="eastAsia"/>
          <w:b/>
          <w:color w:val="000000"/>
          <w:highlight w:val="white"/>
          <w:lang w:bidi="ar"/>
        </w:rPr>
        <w:t>公务用车运行维护费</w:t>
      </w:r>
      <w:r>
        <w:rPr>
          <w:rFonts w:ascii="仿宋" w:eastAsia="仿宋" w:hAnsi="仿宋" w:cs="仿宋" w:hint="eastAsia"/>
          <w:color w:val="000000"/>
          <w:highlight w:val="white"/>
          <w:lang w:bidi="ar"/>
        </w:rPr>
        <w:t>预算数为</w:t>
      </w:r>
      <w:r>
        <w:rPr>
          <w:rFonts w:ascii="仿宋_GB2312" w:cs="仿宋_GB2312" w:hint="eastAsia"/>
          <w:color w:val="000000"/>
          <w:lang w:bidi="ar"/>
        </w:rPr>
        <w:t>62.94</w:t>
      </w:r>
      <w:r>
        <w:rPr>
          <w:rFonts w:ascii="仿宋" w:eastAsia="仿宋" w:hAnsi="仿宋" w:cs="仿宋" w:hint="eastAsia"/>
          <w:color w:val="000000"/>
          <w:highlight w:val="white"/>
          <w:lang w:bidi="ar"/>
        </w:rPr>
        <w:t>万元，支出</w:t>
      </w:r>
      <w:r>
        <w:rPr>
          <w:rFonts w:ascii="仿宋" w:eastAsia="仿宋" w:hAnsi="仿宋" w:cs="仿宋" w:hint="eastAsia"/>
          <w:sz w:val="30"/>
          <w:szCs w:val="30"/>
          <w:highlight w:val="white"/>
          <w:lang w:bidi="ar"/>
        </w:rPr>
        <w:t>43.07</w:t>
      </w:r>
      <w:r>
        <w:rPr>
          <w:rFonts w:ascii="仿宋" w:eastAsia="仿宋" w:hAnsi="仿宋" w:cs="仿宋" w:hint="eastAsia"/>
          <w:color w:val="000000"/>
          <w:highlight w:val="white"/>
          <w:lang w:bidi="ar"/>
        </w:rPr>
        <w:t>万元，完成预算的68.43%。决算数小于（或大于）预算数的主要原因是严格控公务用车购置及运行维护费的支出。主要用于一般公务等所需的公务用车燃料费、维修费、过路过桥费、保险费、安全奖励费用等支出；2021年度，本级及所属单位开支一般公共预算财政拨款的公务用车保有量为</w:t>
      </w:r>
      <w:r>
        <w:rPr>
          <w:rFonts w:ascii="仿宋" w:eastAsia="仿宋" w:hAnsi="仿宋" w:cs="仿宋" w:hint="eastAsia"/>
          <w:sz w:val="30"/>
          <w:szCs w:val="30"/>
          <w:highlight w:val="white"/>
          <w:lang w:bidi="ar"/>
        </w:rPr>
        <w:t>28</w:t>
      </w:r>
      <w:r>
        <w:rPr>
          <w:rFonts w:ascii="仿宋" w:eastAsia="仿宋" w:hAnsi="仿宋" w:cs="仿宋" w:hint="eastAsia"/>
          <w:color w:val="000000"/>
          <w:highlight w:val="white"/>
          <w:lang w:bidi="ar"/>
        </w:rPr>
        <w:t>辆。</w:t>
      </w:r>
    </w:p>
    <w:p w14:paraId="48A1C57F"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b/>
          <w:color w:val="000000"/>
          <w:highlight w:val="white"/>
          <w:lang w:bidi="ar"/>
        </w:rPr>
        <w:t>（3）公务接待费</w:t>
      </w:r>
      <w:r>
        <w:rPr>
          <w:rFonts w:ascii="仿宋" w:eastAsia="仿宋" w:hAnsi="仿宋" w:cs="仿宋" w:hint="eastAsia"/>
          <w:color w:val="000000"/>
          <w:highlight w:val="white"/>
          <w:lang w:bidi="ar"/>
        </w:rPr>
        <w:t>预算数为</w:t>
      </w:r>
      <w:r>
        <w:rPr>
          <w:rFonts w:ascii="仿宋_GB2312" w:cs="仿宋_GB2312" w:hint="eastAsia"/>
          <w:color w:val="000000"/>
          <w:lang w:bidi="ar"/>
        </w:rPr>
        <w:t>7.8</w:t>
      </w:r>
      <w:r>
        <w:rPr>
          <w:rFonts w:ascii="仿宋" w:eastAsia="仿宋" w:hAnsi="仿宋" w:cs="仿宋" w:hint="eastAsia"/>
          <w:color w:val="000000"/>
          <w:highlight w:val="white"/>
          <w:lang w:bidi="ar"/>
        </w:rPr>
        <w:t>万元，支出决算为4.04万元，完成预算的51.79%。国内公务接待49批次，累计397人次。</w:t>
      </w:r>
      <w:r>
        <w:rPr>
          <w:rFonts w:ascii="仿宋" w:eastAsia="仿宋" w:hAnsi="仿宋" w:cs="仿宋" w:hint="eastAsia"/>
          <w:color w:val="000000"/>
          <w:highlight w:val="white"/>
          <w:lang w:bidi="ar"/>
        </w:rPr>
        <w:lastRenderedPageBreak/>
        <w:t>主要用于接待接待</w:t>
      </w:r>
      <w:r>
        <w:rPr>
          <w:rFonts w:ascii="仿宋" w:eastAsia="仿宋" w:hAnsi="仿宋" w:cs="仿宋" w:hint="eastAsia"/>
          <w:color w:val="000000"/>
          <w:lang w:bidi="ar"/>
        </w:rPr>
        <w:t>工作检查和交流</w:t>
      </w:r>
      <w:r>
        <w:rPr>
          <w:rFonts w:ascii="仿宋" w:eastAsia="仿宋" w:hAnsi="仿宋" w:cs="仿宋" w:hint="eastAsia"/>
          <w:color w:val="000000"/>
          <w:highlight w:val="white"/>
          <w:lang w:bidi="ar"/>
        </w:rPr>
        <w:t>等支出。决算数小于预算数的主要原因是严格控制公务接待支出。其中：</w:t>
      </w:r>
    </w:p>
    <w:p w14:paraId="01226D23"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b/>
          <w:color w:val="000000"/>
          <w:highlight w:val="white"/>
          <w:lang w:bidi="ar"/>
        </w:rPr>
        <w:t>外事接待</w:t>
      </w:r>
      <w:r>
        <w:rPr>
          <w:rFonts w:ascii="仿宋" w:eastAsia="仿宋" w:hAnsi="仿宋" w:cs="仿宋" w:hint="eastAsia"/>
          <w:color w:val="000000"/>
          <w:highlight w:val="white"/>
          <w:lang w:bidi="ar"/>
        </w:rPr>
        <w:t>支出0万元，接待0批次，累计0人次。</w:t>
      </w:r>
    </w:p>
    <w:p w14:paraId="20C17C95" w14:textId="77777777" w:rsidR="00F0566E" w:rsidRDefault="00000000">
      <w:pPr>
        <w:widowControl/>
        <w:spacing w:line="324" w:lineRule="auto"/>
        <w:ind w:firstLine="594"/>
        <w:rPr>
          <w:rFonts w:cs="Times New Roman"/>
          <w:color w:val="000000"/>
          <w:highlight w:val="white"/>
        </w:rPr>
      </w:pPr>
      <w:r>
        <w:rPr>
          <w:rFonts w:ascii="仿宋" w:eastAsia="仿宋" w:hAnsi="仿宋" w:cs="仿宋" w:hint="eastAsia"/>
          <w:b/>
          <w:color w:val="000000"/>
          <w:highlight w:val="white"/>
          <w:lang w:bidi="ar"/>
        </w:rPr>
        <w:t>其他国内公务接待</w:t>
      </w:r>
      <w:r>
        <w:rPr>
          <w:rFonts w:ascii="仿宋" w:eastAsia="仿宋" w:hAnsi="仿宋" w:cs="仿宋" w:hint="eastAsia"/>
          <w:color w:val="000000"/>
          <w:highlight w:val="white"/>
          <w:lang w:bidi="ar"/>
        </w:rPr>
        <w:t>支出4.04万元，主要用于接待</w:t>
      </w:r>
      <w:r>
        <w:rPr>
          <w:rFonts w:ascii="仿宋" w:eastAsia="仿宋" w:hAnsi="仿宋" w:cs="仿宋" w:hint="eastAsia"/>
          <w:color w:val="000000"/>
          <w:lang w:bidi="ar"/>
        </w:rPr>
        <w:t>工作检查和交流</w:t>
      </w:r>
      <w:r>
        <w:rPr>
          <w:rFonts w:ascii="仿宋" w:eastAsia="仿宋" w:hAnsi="仿宋" w:cs="仿宋" w:hint="eastAsia"/>
          <w:color w:val="000000"/>
          <w:highlight w:val="white"/>
          <w:lang w:bidi="ar"/>
        </w:rPr>
        <w:t>接待49批次，累计397人次。</w:t>
      </w:r>
    </w:p>
    <w:p w14:paraId="39D521B1" w14:textId="77777777" w:rsidR="00F0566E" w:rsidRDefault="00000000">
      <w:pPr>
        <w:widowControl/>
        <w:spacing w:line="324" w:lineRule="auto"/>
        <w:ind w:firstLine="594"/>
        <w:rPr>
          <w:rFonts w:ascii="仿宋" w:eastAsia="仿宋" w:hAnsi="仿宋" w:cs="仿宋"/>
          <w:color w:val="000000"/>
          <w:highlight w:val="white"/>
        </w:rPr>
      </w:pPr>
      <w:r>
        <w:rPr>
          <w:rFonts w:ascii="楷体" w:eastAsia="楷体" w:hAnsi="楷体" w:cs="楷体" w:hint="eastAsia"/>
          <w:b/>
          <w:color w:val="000000"/>
          <w:highlight w:val="white"/>
          <w:lang w:bidi="ar"/>
        </w:rPr>
        <w:t>（十）机关运行经费支出说明</w:t>
      </w:r>
    </w:p>
    <w:p w14:paraId="407A662B" w14:textId="77777777" w:rsidR="00F0566E" w:rsidRDefault="00000000">
      <w:pPr>
        <w:widowControl/>
        <w:spacing w:line="324" w:lineRule="auto"/>
        <w:ind w:firstLine="594"/>
        <w:rPr>
          <w:rFonts w:ascii="仿宋" w:eastAsia="仿宋" w:hAnsi="仿宋" w:cs="仿宋"/>
          <w:highlight w:val="white"/>
        </w:rPr>
      </w:pPr>
      <w:r>
        <w:rPr>
          <w:rFonts w:ascii="仿宋" w:eastAsia="仿宋" w:hAnsi="仿宋" w:cs="仿宋" w:hint="eastAsia"/>
          <w:highlight w:val="white"/>
          <w:lang w:bidi="ar"/>
        </w:rPr>
        <w:t>2021年度机关运行经费年初预算数为463.61万元，支出决算为</w:t>
      </w:r>
      <w:r>
        <w:rPr>
          <w:rFonts w:ascii="仿宋" w:eastAsia="仿宋" w:hAnsi="仿宋" w:cs="仿宋" w:hint="eastAsia"/>
          <w:kern w:val="0"/>
          <w:highlight w:val="white"/>
          <w:lang w:bidi="ar"/>
        </w:rPr>
        <w:t>403.29</w:t>
      </w:r>
      <w:r>
        <w:rPr>
          <w:rFonts w:ascii="仿宋" w:eastAsia="仿宋" w:hAnsi="仿宋" w:cs="仿宋" w:hint="eastAsia"/>
          <w:highlight w:val="white"/>
          <w:lang w:bidi="ar"/>
        </w:rPr>
        <w:t>万元，完成年初预算的86.99%，决算数小于预算数的主要原因严格控制机关运行经费支出；比2020年度增加44.38万元，增长12.36%，主要原因是机关运行经费中工作经费增加。</w:t>
      </w:r>
    </w:p>
    <w:p w14:paraId="32AE6021" w14:textId="77777777" w:rsidR="00F0566E" w:rsidRDefault="00000000">
      <w:pPr>
        <w:widowControl/>
        <w:spacing w:line="324" w:lineRule="auto"/>
        <w:ind w:firstLine="594"/>
        <w:rPr>
          <w:rFonts w:ascii="楷体" w:eastAsia="楷体" w:hAnsi="楷体" w:cs="楷体"/>
          <w:b/>
          <w:color w:val="000000"/>
          <w:highlight w:val="white"/>
        </w:rPr>
      </w:pPr>
      <w:r>
        <w:rPr>
          <w:rFonts w:ascii="楷体" w:eastAsia="楷体" w:hAnsi="楷体" w:cs="楷体" w:hint="eastAsia"/>
          <w:b/>
          <w:color w:val="000000"/>
          <w:highlight w:val="white"/>
          <w:lang w:bidi="ar"/>
        </w:rPr>
        <w:t>（十一）政府采购支出说明</w:t>
      </w:r>
    </w:p>
    <w:p w14:paraId="66AAAA07" w14:textId="77777777" w:rsidR="00F0566E" w:rsidRDefault="00000000">
      <w:pPr>
        <w:widowControl/>
        <w:spacing w:line="324" w:lineRule="auto"/>
        <w:ind w:firstLine="594"/>
        <w:rPr>
          <w:rFonts w:ascii="仿宋" w:eastAsia="仿宋" w:hAnsi="仿宋" w:cs="仿宋"/>
          <w:highlight w:val="white"/>
        </w:rPr>
      </w:pPr>
      <w:r>
        <w:rPr>
          <w:rFonts w:ascii="仿宋" w:eastAsia="仿宋" w:hAnsi="仿宋" w:cs="仿宋" w:hint="eastAsia"/>
          <w:color w:val="000000"/>
          <w:highlight w:val="white"/>
          <w:lang w:bidi="ar"/>
        </w:rPr>
        <w:t>2021年度政府采购支出总额</w:t>
      </w:r>
      <w:r>
        <w:rPr>
          <w:rFonts w:ascii="仿宋" w:eastAsia="仿宋" w:hAnsi="仿宋" w:cs="仿宋" w:hint="eastAsia"/>
          <w:kern w:val="0"/>
          <w:highlight w:val="white"/>
          <w:lang w:bidi="ar"/>
        </w:rPr>
        <w:t>182.28</w:t>
      </w:r>
      <w:r>
        <w:rPr>
          <w:rFonts w:ascii="仿宋" w:eastAsia="仿宋" w:hAnsi="仿宋" w:cs="仿宋" w:hint="eastAsia"/>
          <w:color w:val="000000"/>
          <w:highlight w:val="white"/>
          <w:lang w:bidi="ar"/>
        </w:rPr>
        <w:t>万元，其中：政府采购货物支出</w:t>
      </w:r>
      <w:r>
        <w:rPr>
          <w:rFonts w:ascii="仿宋" w:eastAsia="仿宋" w:hAnsi="仿宋" w:cs="仿宋" w:hint="eastAsia"/>
          <w:kern w:val="0"/>
          <w:highlight w:val="white"/>
          <w:lang w:bidi="ar"/>
        </w:rPr>
        <w:t>147.35</w:t>
      </w:r>
      <w:r>
        <w:rPr>
          <w:rFonts w:ascii="仿宋" w:eastAsia="仿宋" w:hAnsi="仿宋" w:cs="仿宋" w:hint="eastAsia"/>
          <w:color w:val="000000"/>
          <w:highlight w:val="white"/>
          <w:lang w:bidi="ar"/>
        </w:rPr>
        <w:t>万元、政府采购工程支出</w:t>
      </w:r>
      <w:r>
        <w:rPr>
          <w:rFonts w:ascii="仿宋" w:eastAsia="仿宋" w:hAnsi="仿宋" w:cs="仿宋" w:hint="eastAsia"/>
          <w:kern w:val="0"/>
          <w:highlight w:val="white"/>
          <w:lang w:bidi="ar"/>
        </w:rPr>
        <w:t>0</w:t>
      </w:r>
      <w:r>
        <w:rPr>
          <w:rFonts w:ascii="仿宋" w:eastAsia="仿宋" w:hAnsi="仿宋" w:cs="仿宋" w:hint="eastAsia"/>
          <w:color w:val="000000"/>
          <w:highlight w:val="white"/>
          <w:lang w:bidi="ar"/>
        </w:rPr>
        <w:t>万元、政府采购服务支出</w:t>
      </w:r>
      <w:r>
        <w:rPr>
          <w:rFonts w:ascii="仿宋" w:eastAsia="仿宋" w:hAnsi="仿宋" w:cs="仿宋" w:hint="eastAsia"/>
          <w:kern w:val="0"/>
          <w:highlight w:val="white"/>
          <w:lang w:bidi="ar"/>
        </w:rPr>
        <w:t>34.94</w:t>
      </w:r>
      <w:r>
        <w:rPr>
          <w:rFonts w:ascii="仿宋" w:eastAsia="仿宋" w:hAnsi="仿宋" w:cs="仿宋" w:hint="eastAsia"/>
          <w:color w:val="000000"/>
          <w:highlight w:val="white"/>
          <w:lang w:bidi="ar"/>
        </w:rPr>
        <w:t>万元。</w:t>
      </w:r>
      <w:r>
        <w:rPr>
          <w:rFonts w:ascii="仿宋" w:eastAsia="仿宋" w:hAnsi="仿宋" w:cs="仿宋" w:hint="eastAsia"/>
          <w:highlight w:val="white"/>
          <w:lang w:bidi="ar"/>
        </w:rPr>
        <w:t>授予中小企业合同金额</w:t>
      </w:r>
      <w:r>
        <w:rPr>
          <w:rFonts w:ascii="仿宋" w:eastAsia="仿宋" w:hAnsi="仿宋" w:cs="仿宋" w:hint="eastAsia"/>
          <w:kern w:val="0"/>
          <w:highlight w:val="white"/>
          <w:lang w:bidi="ar"/>
        </w:rPr>
        <w:t>182.28</w:t>
      </w:r>
      <w:r>
        <w:rPr>
          <w:rFonts w:ascii="仿宋" w:eastAsia="仿宋" w:hAnsi="仿宋" w:cs="仿宋" w:hint="eastAsia"/>
          <w:highlight w:val="white"/>
          <w:lang w:bidi="ar"/>
        </w:rPr>
        <w:t>万元，占政府采购支出总额的</w:t>
      </w:r>
      <w:r>
        <w:rPr>
          <w:rFonts w:ascii="仿宋" w:eastAsia="仿宋" w:hAnsi="仿宋" w:cs="仿宋" w:hint="eastAsia"/>
          <w:kern w:val="0"/>
          <w:highlight w:val="white"/>
          <w:lang w:bidi="ar"/>
        </w:rPr>
        <w:t>100</w:t>
      </w:r>
      <w:r>
        <w:rPr>
          <w:rFonts w:ascii="仿宋" w:eastAsia="仿宋" w:hAnsi="仿宋" w:cs="仿宋" w:hint="eastAsia"/>
          <w:highlight w:val="white"/>
          <w:lang w:bidi="ar"/>
        </w:rPr>
        <w:t>%。</w:t>
      </w:r>
      <w:r>
        <w:rPr>
          <w:rFonts w:ascii="仿宋" w:eastAsia="仿宋" w:hAnsi="仿宋" w:cs="仿宋" w:hint="eastAsia"/>
          <w:color w:val="000000"/>
          <w:highlight w:val="white"/>
          <w:lang w:bidi="ar"/>
        </w:rPr>
        <w:t>其中，授予小</w:t>
      </w:r>
      <w:proofErr w:type="gramStart"/>
      <w:r>
        <w:rPr>
          <w:rFonts w:ascii="仿宋" w:eastAsia="仿宋" w:hAnsi="仿宋" w:cs="仿宋" w:hint="eastAsia"/>
          <w:color w:val="000000"/>
          <w:highlight w:val="white"/>
          <w:lang w:bidi="ar"/>
        </w:rPr>
        <w:t>微企业</w:t>
      </w:r>
      <w:proofErr w:type="gramEnd"/>
      <w:r>
        <w:rPr>
          <w:rFonts w:ascii="仿宋" w:eastAsia="仿宋" w:hAnsi="仿宋" w:cs="仿宋" w:hint="eastAsia"/>
          <w:color w:val="000000"/>
          <w:highlight w:val="white"/>
          <w:lang w:bidi="ar"/>
        </w:rPr>
        <w:t>合同金额</w:t>
      </w:r>
      <w:r>
        <w:rPr>
          <w:rFonts w:ascii="仿宋" w:eastAsia="仿宋" w:hAnsi="仿宋" w:cs="仿宋" w:hint="eastAsia"/>
          <w:kern w:val="0"/>
          <w:highlight w:val="white"/>
          <w:lang w:bidi="ar"/>
        </w:rPr>
        <w:t>182.28</w:t>
      </w:r>
      <w:r>
        <w:rPr>
          <w:rFonts w:ascii="仿宋" w:eastAsia="仿宋" w:hAnsi="仿宋" w:cs="仿宋" w:hint="eastAsia"/>
          <w:color w:val="000000"/>
          <w:highlight w:val="white"/>
          <w:lang w:bidi="ar"/>
        </w:rPr>
        <w:t>万元，</w:t>
      </w:r>
      <w:r>
        <w:rPr>
          <w:rFonts w:ascii="仿宋" w:eastAsia="仿宋" w:hAnsi="仿宋" w:cs="仿宋" w:hint="eastAsia"/>
          <w:highlight w:val="white"/>
          <w:lang w:bidi="ar"/>
        </w:rPr>
        <w:t>占授予中小企业合同金额</w:t>
      </w:r>
      <w:r>
        <w:rPr>
          <w:rFonts w:ascii="仿宋" w:eastAsia="仿宋" w:hAnsi="仿宋" w:cs="仿宋" w:hint="eastAsia"/>
          <w:color w:val="000000"/>
          <w:highlight w:val="white"/>
          <w:lang w:bidi="ar"/>
        </w:rPr>
        <w:t>的</w:t>
      </w:r>
      <w:r>
        <w:rPr>
          <w:rFonts w:ascii="仿宋" w:eastAsia="仿宋" w:hAnsi="仿宋" w:cs="仿宋" w:hint="eastAsia"/>
          <w:kern w:val="0"/>
          <w:highlight w:val="white"/>
          <w:lang w:bidi="ar"/>
        </w:rPr>
        <w:t>100</w:t>
      </w:r>
      <w:r>
        <w:rPr>
          <w:rFonts w:ascii="仿宋" w:eastAsia="仿宋" w:hAnsi="仿宋" w:cs="仿宋" w:hint="eastAsia"/>
          <w:highlight w:val="white"/>
          <w:lang w:bidi="ar"/>
        </w:rPr>
        <w:t>%；货物采购授予中小企业合同金额占货物支出金额的</w:t>
      </w:r>
      <w:r>
        <w:rPr>
          <w:rFonts w:ascii="仿宋" w:eastAsia="仿宋" w:hAnsi="仿宋" w:cs="仿宋" w:hint="eastAsia"/>
          <w:color w:val="000000"/>
          <w:highlight w:val="white"/>
          <w:lang w:bidi="ar"/>
        </w:rPr>
        <w:t>80.84</w:t>
      </w:r>
      <w:r>
        <w:rPr>
          <w:rFonts w:ascii="仿宋" w:eastAsia="仿宋" w:hAnsi="仿宋" w:cs="仿宋" w:hint="eastAsia"/>
          <w:highlight w:val="white"/>
          <w:lang w:bidi="ar"/>
        </w:rPr>
        <w:t>%，工程采购授予中小企业合同金额占工程支出金额的</w:t>
      </w:r>
      <w:r>
        <w:rPr>
          <w:rFonts w:ascii="仿宋" w:eastAsia="仿宋" w:hAnsi="仿宋" w:cs="仿宋" w:hint="eastAsia"/>
          <w:color w:val="000000"/>
          <w:highlight w:val="white"/>
          <w:lang w:bidi="ar"/>
        </w:rPr>
        <w:t>0</w:t>
      </w:r>
      <w:r>
        <w:rPr>
          <w:rFonts w:ascii="仿宋" w:eastAsia="仿宋" w:hAnsi="仿宋" w:cs="仿宋" w:hint="eastAsia"/>
          <w:highlight w:val="white"/>
          <w:lang w:bidi="ar"/>
        </w:rPr>
        <w:t>%，服务采购授予中小企业合同金额占服务支出金额的</w:t>
      </w:r>
      <w:r>
        <w:rPr>
          <w:rFonts w:ascii="仿宋" w:eastAsia="仿宋" w:hAnsi="仿宋" w:cs="仿宋" w:hint="eastAsia"/>
          <w:color w:val="000000"/>
          <w:highlight w:val="white"/>
          <w:lang w:bidi="ar"/>
        </w:rPr>
        <w:t>19.16</w:t>
      </w:r>
      <w:r>
        <w:rPr>
          <w:rFonts w:ascii="仿宋" w:eastAsia="仿宋" w:hAnsi="仿宋" w:cs="仿宋" w:hint="eastAsia"/>
          <w:highlight w:val="white"/>
          <w:lang w:bidi="ar"/>
        </w:rPr>
        <w:t>%</w:t>
      </w:r>
      <w:r>
        <w:rPr>
          <w:rFonts w:ascii="仿宋" w:eastAsia="仿宋" w:hAnsi="仿宋" w:cs="仿宋" w:hint="eastAsia"/>
          <w:color w:val="000000"/>
          <w:highlight w:val="white"/>
          <w:lang w:bidi="ar"/>
        </w:rPr>
        <w:t>。</w:t>
      </w:r>
    </w:p>
    <w:p w14:paraId="3C49B8CB" w14:textId="77777777" w:rsidR="00F0566E" w:rsidRDefault="00000000">
      <w:pPr>
        <w:widowControl/>
        <w:spacing w:line="324" w:lineRule="auto"/>
        <w:ind w:firstLine="594"/>
        <w:rPr>
          <w:rFonts w:ascii="楷体" w:eastAsia="楷体" w:hAnsi="楷体" w:cs="楷体"/>
          <w:b/>
          <w:color w:val="000000"/>
          <w:highlight w:val="white"/>
        </w:rPr>
      </w:pPr>
      <w:r>
        <w:rPr>
          <w:rFonts w:ascii="楷体" w:eastAsia="楷体" w:hAnsi="楷体" w:cs="楷体" w:hint="eastAsia"/>
          <w:b/>
          <w:color w:val="000000"/>
          <w:highlight w:val="white"/>
          <w:lang w:bidi="ar"/>
        </w:rPr>
        <w:t>（十二）国有资产占有情况说明</w:t>
      </w:r>
    </w:p>
    <w:p w14:paraId="73430CF3" w14:textId="77777777" w:rsidR="00F0566E" w:rsidRDefault="00000000">
      <w:pPr>
        <w:widowControl/>
        <w:spacing w:line="324" w:lineRule="auto"/>
        <w:ind w:firstLine="594"/>
        <w:rPr>
          <w:rFonts w:ascii="楷体" w:eastAsia="楷体" w:hAnsi="楷体" w:cs="楷体"/>
          <w:b/>
          <w:color w:val="000000"/>
          <w:highlight w:val="white"/>
        </w:rPr>
      </w:pPr>
      <w:r>
        <w:rPr>
          <w:rFonts w:ascii="仿宋" w:eastAsia="仿宋" w:hAnsi="仿宋" w:cs="仿宋" w:hint="eastAsia"/>
          <w:color w:val="000000"/>
          <w:highlight w:val="white"/>
          <w:lang w:bidi="ar"/>
        </w:rPr>
        <w:lastRenderedPageBreak/>
        <w:t>截至2021年12月31日，兰溪市市场监督管理局本级及所属各单位共有车辆</w:t>
      </w:r>
      <w:r>
        <w:rPr>
          <w:rFonts w:ascii="仿宋" w:eastAsia="仿宋" w:hAnsi="仿宋" w:cs="仿宋" w:hint="eastAsia"/>
          <w:kern w:val="0"/>
          <w:highlight w:val="white"/>
          <w:lang w:bidi="ar"/>
        </w:rPr>
        <w:t>28</w:t>
      </w:r>
      <w:r>
        <w:rPr>
          <w:rFonts w:ascii="仿宋" w:eastAsia="仿宋" w:hAnsi="仿宋" w:cs="仿宋" w:hint="eastAsia"/>
          <w:color w:val="000000"/>
          <w:highlight w:val="white"/>
          <w:lang w:bidi="ar"/>
        </w:rPr>
        <w:t>辆，其中，副部（省）级及以上领导用车</w:t>
      </w:r>
      <w:r>
        <w:rPr>
          <w:rFonts w:ascii="仿宋" w:eastAsia="仿宋" w:hAnsi="仿宋" w:cs="仿宋" w:hint="eastAsia"/>
          <w:kern w:val="0"/>
          <w:highlight w:val="white"/>
          <w:lang w:bidi="ar"/>
        </w:rPr>
        <w:t>0</w:t>
      </w:r>
      <w:r>
        <w:rPr>
          <w:rFonts w:ascii="仿宋" w:eastAsia="仿宋" w:hAnsi="仿宋" w:cs="仿宋" w:hint="eastAsia"/>
          <w:color w:val="000000"/>
          <w:highlight w:val="white"/>
          <w:lang w:bidi="ar"/>
        </w:rPr>
        <w:t>辆、主要领导干部用车</w:t>
      </w:r>
      <w:r>
        <w:rPr>
          <w:rFonts w:ascii="仿宋" w:eastAsia="仿宋" w:hAnsi="仿宋" w:cs="仿宋" w:hint="eastAsia"/>
          <w:kern w:val="0"/>
          <w:highlight w:val="white"/>
          <w:lang w:bidi="ar"/>
        </w:rPr>
        <w:t>0</w:t>
      </w:r>
      <w:r>
        <w:rPr>
          <w:rFonts w:ascii="仿宋" w:eastAsia="仿宋" w:hAnsi="仿宋" w:cs="仿宋" w:hint="eastAsia"/>
          <w:color w:val="000000"/>
          <w:highlight w:val="white"/>
          <w:lang w:bidi="ar"/>
        </w:rPr>
        <w:t>辆、机要通信用车</w:t>
      </w:r>
      <w:r>
        <w:rPr>
          <w:rFonts w:ascii="仿宋" w:eastAsia="仿宋" w:hAnsi="仿宋" w:cs="仿宋" w:hint="eastAsia"/>
          <w:kern w:val="0"/>
          <w:highlight w:val="white"/>
          <w:lang w:bidi="ar"/>
        </w:rPr>
        <w:t>0</w:t>
      </w:r>
      <w:r>
        <w:rPr>
          <w:rFonts w:ascii="仿宋" w:eastAsia="仿宋" w:hAnsi="仿宋" w:cs="仿宋" w:hint="eastAsia"/>
          <w:color w:val="000000"/>
          <w:highlight w:val="white"/>
          <w:lang w:bidi="ar"/>
        </w:rPr>
        <w:t>辆、应急保障用车</w:t>
      </w:r>
      <w:r>
        <w:rPr>
          <w:rFonts w:ascii="仿宋" w:eastAsia="仿宋" w:hAnsi="仿宋" w:cs="仿宋" w:hint="eastAsia"/>
          <w:kern w:val="0"/>
          <w:highlight w:val="white"/>
          <w:lang w:bidi="ar"/>
        </w:rPr>
        <w:t>0</w:t>
      </w:r>
      <w:r>
        <w:rPr>
          <w:rFonts w:ascii="仿宋" w:eastAsia="仿宋" w:hAnsi="仿宋" w:cs="仿宋" w:hint="eastAsia"/>
          <w:color w:val="000000"/>
          <w:highlight w:val="white"/>
          <w:lang w:bidi="ar"/>
        </w:rPr>
        <w:t>辆、执法执勤用车</w:t>
      </w:r>
      <w:r>
        <w:rPr>
          <w:rFonts w:ascii="仿宋" w:eastAsia="仿宋" w:hAnsi="仿宋" w:cs="仿宋" w:hint="eastAsia"/>
          <w:kern w:val="0"/>
          <w:highlight w:val="white"/>
          <w:lang w:bidi="ar"/>
        </w:rPr>
        <w:t>3</w:t>
      </w:r>
      <w:r>
        <w:rPr>
          <w:rFonts w:ascii="仿宋" w:eastAsia="仿宋" w:hAnsi="仿宋" w:cs="仿宋" w:hint="eastAsia"/>
          <w:color w:val="000000"/>
          <w:highlight w:val="white"/>
          <w:lang w:bidi="ar"/>
        </w:rPr>
        <w:t>辆、特种专业技术用车</w:t>
      </w:r>
      <w:r>
        <w:rPr>
          <w:rFonts w:ascii="仿宋" w:eastAsia="仿宋" w:hAnsi="仿宋" w:cs="仿宋" w:hint="eastAsia"/>
          <w:kern w:val="0"/>
          <w:highlight w:val="white"/>
          <w:lang w:bidi="ar"/>
        </w:rPr>
        <w:t>22</w:t>
      </w:r>
      <w:r>
        <w:rPr>
          <w:rFonts w:ascii="仿宋" w:eastAsia="仿宋" w:hAnsi="仿宋" w:cs="仿宋" w:hint="eastAsia"/>
          <w:color w:val="000000"/>
          <w:highlight w:val="white"/>
          <w:lang w:bidi="ar"/>
        </w:rPr>
        <w:t>辆、离退休干部用车</w:t>
      </w:r>
      <w:r>
        <w:rPr>
          <w:rFonts w:ascii="仿宋" w:eastAsia="仿宋" w:hAnsi="仿宋" w:cs="仿宋" w:hint="eastAsia"/>
          <w:kern w:val="0"/>
          <w:highlight w:val="white"/>
          <w:lang w:bidi="ar"/>
        </w:rPr>
        <w:t>0</w:t>
      </w:r>
      <w:r>
        <w:rPr>
          <w:rFonts w:ascii="仿宋" w:eastAsia="仿宋" w:hAnsi="仿宋" w:cs="仿宋" w:hint="eastAsia"/>
          <w:color w:val="000000"/>
          <w:highlight w:val="white"/>
          <w:lang w:bidi="ar"/>
        </w:rPr>
        <w:t>辆、其他用车</w:t>
      </w:r>
      <w:r>
        <w:rPr>
          <w:rFonts w:ascii="仿宋" w:eastAsia="仿宋" w:hAnsi="仿宋" w:cs="仿宋" w:hint="eastAsia"/>
          <w:kern w:val="0"/>
          <w:highlight w:val="white"/>
          <w:lang w:bidi="ar"/>
        </w:rPr>
        <w:t>3</w:t>
      </w:r>
      <w:r>
        <w:rPr>
          <w:rFonts w:ascii="仿宋" w:eastAsia="仿宋" w:hAnsi="仿宋" w:cs="仿宋" w:hint="eastAsia"/>
          <w:color w:val="000000"/>
          <w:highlight w:val="white"/>
          <w:lang w:bidi="ar"/>
        </w:rPr>
        <w:t>辆,其他用车主要是检测；单价50万元以上通用设备</w:t>
      </w:r>
      <w:r>
        <w:rPr>
          <w:rFonts w:ascii="仿宋" w:eastAsia="仿宋" w:hAnsi="仿宋" w:cs="仿宋" w:hint="eastAsia"/>
          <w:kern w:val="0"/>
          <w:highlight w:val="white"/>
          <w:lang w:bidi="ar"/>
        </w:rPr>
        <w:t>6</w:t>
      </w:r>
      <w:r>
        <w:rPr>
          <w:rFonts w:ascii="仿宋" w:eastAsia="仿宋" w:hAnsi="仿宋" w:cs="仿宋" w:hint="eastAsia"/>
          <w:color w:val="000000"/>
          <w:highlight w:val="white"/>
          <w:lang w:bidi="ar"/>
        </w:rPr>
        <w:t>台（套），单价100万元以上专用设备</w:t>
      </w:r>
      <w:r>
        <w:rPr>
          <w:rFonts w:ascii="仿宋" w:eastAsia="仿宋" w:hAnsi="仿宋" w:cs="仿宋" w:hint="eastAsia"/>
          <w:kern w:val="0"/>
          <w:highlight w:val="white"/>
          <w:lang w:bidi="ar"/>
        </w:rPr>
        <w:t>0</w:t>
      </w:r>
      <w:r>
        <w:rPr>
          <w:rFonts w:ascii="仿宋" w:eastAsia="仿宋" w:hAnsi="仿宋" w:cs="仿宋" w:hint="eastAsia"/>
          <w:color w:val="000000"/>
          <w:highlight w:val="white"/>
          <w:lang w:bidi="ar"/>
        </w:rPr>
        <w:t>台（套）。</w:t>
      </w:r>
      <w:r>
        <w:rPr>
          <w:rFonts w:ascii="仿宋_GB2312" w:cs="仿宋_GB2312" w:hint="eastAsia"/>
          <w:color w:val="000000"/>
          <w:highlight w:val="white"/>
          <w:lang w:bidi="ar"/>
        </w:rPr>
        <w:t xml:space="preserve"> </w:t>
      </w:r>
    </w:p>
    <w:p w14:paraId="6E54B1DF" w14:textId="77777777" w:rsidR="00F0566E" w:rsidRDefault="00000000">
      <w:pPr>
        <w:widowControl/>
        <w:spacing w:line="324" w:lineRule="auto"/>
        <w:ind w:firstLine="594"/>
        <w:rPr>
          <w:rFonts w:ascii="仿宋" w:eastAsia="仿宋" w:hAnsi="仿宋" w:cs="仿宋"/>
          <w:color w:val="000000"/>
          <w:highlight w:val="white"/>
        </w:rPr>
      </w:pPr>
      <w:r>
        <w:rPr>
          <w:rFonts w:ascii="楷体" w:eastAsia="楷体" w:hAnsi="楷体" w:cs="楷体" w:hint="eastAsia"/>
          <w:b/>
          <w:color w:val="000000"/>
          <w:highlight w:val="white"/>
          <w:lang w:bidi="ar"/>
        </w:rPr>
        <w:t>（十三）预算绩效情况说明</w:t>
      </w:r>
    </w:p>
    <w:p w14:paraId="4238B1EC"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b/>
          <w:color w:val="000000"/>
          <w:highlight w:val="white"/>
          <w:lang w:bidi="ar"/>
        </w:rPr>
        <w:t>1.预算绩效管理工作开展情况。</w:t>
      </w:r>
    </w:p>
    <w:p w14:paraId="140E7298"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根据预算绩效管理要求，兰溪市市场监督管理局本级组织对2021年度一般公共预算项目支出全面开展绩效自评，其中，</w:t>
      </w:r>
      <w:proofErr w:type="gramStart"/>
      <w:r>
        <w:rPr>
          <w:rFonts w:ascii="仿宋" w:eastAsia="仿宋" w:hAnsi="仿宋" w:cs="仿宋" w:hint="eastAsia"/>
          <w:color w:val="000000"/>
          <w:highlight w:val="white"/>
          <w:lang w:bidi="ar"/>
        </w:rPr>
        <w:t>一级项目</w:t>
      </w:r>
      <w:proofErr w:type="gramEnd"/>
      <w:r>
        <w:rPr>
          <w:rFonts w:ascii="仿宋" w:eastAsia="仿宋" w:hAnsi="仿宋" w:cs="仿宋" w:hint="eastAsia"/>
          <w:color w:val="000000"/>
          <w:highlight w:val="white"/>
          <w:lang w:bidi="ar"/>
        </w:rPr>
        <w:t>1个，二级项目10个，共涉及资金3614.77万元，占一般公共预算项目支出总额的100%。本年无政府性基金预算项目和国有资本经营预算项目。</w:t>
      </w:r>
    </w:p>
    <w:p w14:paraId="094EEC1E"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本年无部门评价。</w:t>
      </w:r>
    </w:p>
    <w:p w14:paraId="33C4E589"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本年无部门整体支出绩效评价。</w:t>
      </w:r>
    </w:p>
    <w:p w14:paraId="23A679CF"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本年无单位整体支出绩效评价。</w:t>
      </w:r>
    </w:p>
    <w:p w14:paraId="449BC727" w14:textId="77777777" w:rsidR="00F0566E" w:rsidRDefault="00000000">
      <w:pPr>
        <w:widowControl/>
        <w:spacing w:line="324" w:lineRule="auto"/>
        <w:ind w:firstLine="594"/>
        <w:rPr>
          <w:rFonts w:ascii="仿宋" w:eastAsia="仿宋" w:hAnsi="仿宋" w:cs="仿宋"/>
          <w:b/>
          <w:color w:val="000000"/>
          <w:highlight w:val="white"/>
        </w:rPr>
      </w:pPr>
      <w:r>
        <w:rPr>
          <w:rFonts w:ascii="仿宋" w:eastAsia="仿宋" w:hAnsi="仿宋" w:cs="仿宋" w:hint="eastAsia"/>
          <w:b/>
          <w:color w:val="000000"/>
          <w:highlight w:val="white"/>
          <w:lang w:bidi="ar"/>
        </w:rPr>
        <w:t>2.部门决算</w:t>
      </w:r>
      <w:proofErr w:type="gramStart"/>
      <w:r>
        <w:rPr>
          <w:rFonts w:ascii="仿宋" w:eastAsia="仿宋" w:hAnsi="仿宋" w:cs="仿宋" w:hint="eastAsia"/>
          <w:b/>
          <w:color w:val="000000"/>
          <w:highlight w:val="white"/>
          <w:lang w:bidi="ar"/>
        </w:rPr>
        <w:t>中项目</w:t>
      </w:r>
      <w:proofErr w:type="gramEnd"/>
      <w:r>
        <w:rPr>
          <w:rFonts w:ascii="仿宋" w:eastAsia="仿宋" w:hAnsi="仿宋" w:cs="仿宋" w:hint="eastAsia"/>
          <w:b/>
          <w:color w:val="000000"/>
          <w:highlight w:val="white"/>
          <w:lang w:bidi="ar"/>
        </w:rPr>
        <w:t>绩效自评结果</w:t>
      </w:r>
    </w:p>
    <w:p w14:paraId="2733EB8D"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兰溪市市场监督管理局本级在2021年度部门决算中反映企业开办首套公章刻制费用及2021年度市场监管工作经费项目绩效自评结果。</w:t>
      </w:r>
    </w:p>
    <w:p w14:paraId="0DE04589"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lastRenderedPageBreak/>
        <w:t>企业开办首套公章刻制费用项目绩效自评综述：根据年初设定的绩效目标进一步降低企业开办成本，减少开办环节，巩固企业开办改革成果，优化营商环境，项目自评得分100分，自评结论为“优”。项目全年预算数为27.588万元，执行数为27.588万元，完成预算的100%。项目绩效目标完成情况：按照当年实际开办企业数量刻制企业首套公章，实现100%全覆盖，降低企业开办成本，巩固企业开办改革成果，优化营商环境。发现的问题及原因：无。</w:t>
      </w:r>
    </w:p>
    <w:tbl>
      <w:tblPr>
        <w:tblW w:w="0" w:type="auto"/>
        <w:tblInd w:w="93" w:type="dxa"/>
        <w:tblLayout w:type="fixed"/>
        <w:tblCellMar>
          <w:top w:w="15" w:type="dxa"/>
          <w:left w:w="15" w:type="dxa"/>
          <w:bottom w:w="15" w:type="dxa"/>
          <w:right w:w="15" w:type="dxa"/>
        </w:tblCellMar>
        <w:tblLook w:val="04A0" w:firstRow="1" w:lastRow="0" w:firstColumn="1" w:lastColumn="0" w:noHBand="0" w:noVBand="1"/>
      </w:tblPr>
      <w:tblGrid>
        <w:gridCol w:w="327"/>
        <w:gridCol w:w="359"/>
        <w:gridCol w:w="541"/>
        <w:gridCol w:w="1502"/>
        <w:gridCol w:w="1129"/>
        <w:gridCol w:w="1107"/>
        <w:gridCol w:w="494"/>
        <w:gridCol w:w="496"/>
        <w:gridCol w:w="2757"/>
      </w:tblGrid>
      <w:tr w:rsidR="00F0566E" w14:paraId="580BBD65" w14:textId="77777777">
        <w:trPr>
          <w:trHeight w:val="620"/>
        </w:trPr>
        <w:tc>
          <w:tcPr>
            <w:tcW w:w="8712" w:type="dxa"/>
            <w:gridSpan w:val="9"/>
            <w:tcBorders>
              <w:top w:val="nil"/>
              <w:left w:val="nil"/>
              <w:bottom w:val="nil"/>
              <w:right w:val="nil"/>
            </w:tcBorders>
            <w:shd w:val="clear" w:color="auto" w:fill="auto"/>
            <w:vAlign w:val="center"/>
          </w:tcPr>
          <w:p w14:paraId="6FD84CEB" w14:textId="77777777" w:rsidR="00F0566E" w:rsidRDefault="00000000">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lang w:bidi="ar"/>
              </w:rPr>
              <w:t>项目支出绩效自评表</w:t>
            </w:r>
          </w:p>
        </w:tc>
      </w:tr>
      <w:tr w:rsidR="00F0566E" w14:paraId="6A96A286" w14:textId="77777777">
        <w:trPr>
          <w:trHeight w:val="320"/>
        </w:trPr>
        <w:tc>
          <w:tcPr>
            <w:tcW w:w="8712" w:type="dxa"/>
            <w:gridSpan w:val="9"/>
            <w:tcBorders>
              <w:top w:val="nil"/>
              <w:left w:val="nil"/>
              <w:bottom w:val="nil"/>
              <w:right w:val="nil"/>
            </w:tcBorders>
            <w:shd w:val="clear" w:color="auto" w:fill="auto"/>
            <w:vAlign w:val="center"/>
          </w:tcPr>
          <w:p w14:paraId="556DA66E" w14:textId="77777777" w:rsidR="00F0566E" w:rsidRDefault="00000000">
            <w:pPr>
              <w:widowControl/>
              <w:jc w:val="center"/>
              <w:textAlignment w:val="center"/>
              <w:rPr>
                <w:rFonts w:eastAsia="宋体" w:cs="Times New Roman"/>
                <w:color w:val="000000"/>
                <w:sz w:val="20"/>
                <w:szCs w:val="20"/>
              </w:rPr>
            </w:pPr>
            <w:r>
              <w:rPr>
                <w:rStyle w:val="17"/>
                <w:lang w:bidi="ar"/>
              </w:rPr>
              <w:t>（</w:t>
            </w:r>
            <w:r>
              <w:rPr>
                <w:rStyle w:val="16"/>
                <w:lang w:bidi="ar"/>
              </w:rPr>
              <w:t>2021</w:t>
            </w:r>
            <w:r>
              <w:rPr>
                <w:rStyle w:val="17"/>
                <w:lang w:bidi="ar"/>
              </w:rPr>
              <w:t>年度）</w:t>
            </w:r>
          </w:p>
        </w:tc>
      </w:tr>
      <w:tr w:rsidR="00F0566E" w14:paraId="3EA7B462" w14:textId="77777777">
        <w:trPr>
          <w:trHeight w:val="367"/>
        </w:trPr>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E5E358"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项目名称</w:t>
            </w:r>
          </w:p>
        </w:tc>
        <w:tc>
          <w:tcPr>
            <w:tcW w:w="3172" w:type="dxa"/>
            <w:gridSpan w:val="3"/>
            <w:tcBorders>
              <w:top w:val="single" w:sz="4" w:space="0" w:color="000000"/>
              <w:left w:val="nil"/>
              <w:bottom w:val="single" w:sz="4" w:space="0" w:color="000000"/>
              <w:right w:val="single" w:sz="4" w:space="0" w:color="000000"/>
            </w:tcBorders>
            <w:shd w:val="clear" w:color="auto" w:fill="auto"/>
            <w:vAlign w:val="center"/>
          </w:tcPr>
          <w:p w14:paraId="214F79B1" w14:textId="77777777" w:rsidR="00F0566E" w:rsidRDefault="00000000">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 xml:space="preserve"> 企业开办首套公章刻制费用</w:t>
            </w:r>
          </w:p>
        </w:tc>
        <w:tc>
          <w:tcPr>
            <w:tcW w:w="1107" w:type="dxa"/>
            <w:tcBorders>
              <w:top w:val="single" w:sz="4" w:space="0" w:color="000000"/>
              <w:left w:val="nil"/>
              <w:bottom w:val="single" w:sz="4" w:space="0" w:color="000000"/>
              <w:right w:val="single" w:sz="4" w:space="0" w:color="000000"/>
            </w:tcBorders>
            <w:shd w:val="clear" w:color="auto" w:fill="auto"/>
            <w:vAlign w:val="center"/>
          </w:tcPr>
          <w:p w14:paraId="00FC4329"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项目负责人</w:t>
            </w:r>
          </w:p>
        </w:tc>
        <w:tc>
          <w:tcPr>
            <w:tcW w:w="3747" w:type="dxa"/>
            <w:gridSpan w:val="3"/>
            <w:tcBorders>
              <w:top w:val="single" w:sz="4" w:space="0" w:color="000000"/>
              <w:left w:val="nil"/>
              <w:bottom w:val="single" w:sz="4" w:space="0" w:color="000000"/>
              <w:right w:val="single" w:sz="4" w:space="0" w:color="000000"/>
            </w:tcBorders>
            <w:shd w:val="clear" w:color="auto" w:fill="auto"/>
            <w:vAlign w:val="center"/>
          </w:tcPr>
          <w:p w14:paraId="68A936C9" w14:textId="77777777" w:rsidR="00F0566E" w:rsidRDefault="00000000">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18"/>
                <w:szCs w:val="18"/>
                <w:lang w:bidi="ar"/>
              </w:rPr>
              <w:t>兰溪市市场监督管理局</w:t>
            </w:r>
          </w:p>
        </w:tc>
      </w:tr>
      <w:tr w:rsidR="00F0566E" w14:paraId="3A57DF45" w14:textId="77777777">
        <w:trPr>
          <w:trHeight w:val="367"/>
        </w:trPr>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BFE01A" w14:textId="77777777" w:rsidR="00F0566E" w:rsidRDefault="00000000">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预算单位盖章</w:t>
            </w:r>
          </w:p>
        </w:tc>
        <w:tc>
          <w:tcPr>
            <w:tcW w:w="3172" w:type="dxa"/>
            <w:gridSpan w:val="3"/>
            <w:tcBorders>
              <w:top w:val="single" w:sz="4" w:space="0" w:color="000000"/>
              <w:left w:val="nil"/>
              <w:bottom w:val="single" w:sz="4" w:space="0" w:color="000000"/>
              <w:right w:val="single" w:sz="4" w:space="0" w:color="000000"/>
            </w:tcBorders>
            <w:shd w:val="clear" w:color="auto" w:fill="auto"/>
            <w:vAlign w:val="center"/>
          </w:tcPr>
          <w:p w14:paraId="560530BE" w14:textId="77777777" w:rsidR="00F0566E" w:rsidRDefault="00000000">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兰溪市市场监督管理局</w:t>
            </w:r>
          </w:p>
        </w:tc>
        <w:tc>
          <w:tcPr>
            <w:tcW w:w="1107" w:type="dxa"/>
            <w:tcBorders>
              <w:top w:val="single" w:sz="4" w:space="0" w:color="000000"/>
              <w:left w:val="nil"/>
              <w:bottom w:val="single" w:sz="4" w:space="0" w:color="000000"/>
              <w:right w:val="single" w:sz="4" w:space="0" w:color="000000"/>
            </w:tcBorders>
            <w:shd w:val="clear" w:color="auto" w:fill="auto"/>
            <w:vAlign w:val="center"/>
          </w:tcPr>
          <w:p w14:paraId="202BC710"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主管部门</w:t>
            </w:r>
          </w:p>
        </w:tc>
        <w:tc>
          <w:tcPr>
            <w:tcW w:w="3747" w:type="dxa"/>
            <w:gridSpan w:val="3"/>
            <w:tcBorders>
              <w:top w:val="single" w:sz="4" w:space="0" w:color="000000"/>
              <w:left w:val="nil"/>
              <w:bottom w:val="single" w:sz="4" w:space="0" w:color="000000"/>
              <w:right w:val="single" w:sz="4" w:space="0" w:color="000000"/>
            </w:tcBorders>
            <w:shd w:val="clear" w:color="auto" w:fill="auto"/>
            <w:vAlign w:val="center"/>
          </w:tcPr>
          <w:p w14:paraId="4A8062B7"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兰溪市市场监督管理局</w:t>
            </w:r>
          </w:p>
        </w:tc>
      </w:tr>
      <w:tr w:rsidR="00F0566E" w14:paraId="781C0D9D" w14:textId="77777777">
        <w:trPr>
          <w:trHeight w:val="314"/>
        </w:trPr>
        <w:tc>
          <w:tcPr>
            <w:tcW w:w="686"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581D3D45"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项目资金</w:t>
            </w:r>
            <w:r>
              <w:rPr>
                <w:rFonts w:ascii="宋体" w:eastAsia="宋体" w:hAnsi="宋体" w:cs="宋体" w:hint="eastAsia"/>
                <w:color w:val="000000"/>
                <w:kern w:val="0"/>
                <w:sz w:val="18"/>
                <w:szCs w:val="18"/>
                <w:lang w:bidi="ar"/>
              </w:rPr>
              <w:br/>
              <w:t>（万元）</w:t>
            </w:r>
          </w:p>
        </w:tc>
        <w:tc>
          <w:tcPr>
            <w:tcW w:w="2043" w:type="dxa"/>
            <w:gridSpan w:val="2"/>
            <w:vMerge w:val="restart"/>
            <w:tcBorders>
              <w:top w:val="nil"/>
              <w:left w:val="nil"/>
              <w:bottom w:val="single" w:sz="4" w:space="0" w:color="000000"/>
              <w:right w:val="single" w:sz="4" w:space="0" w:color="000000"/>
            </w:tcBorders>
            <w:shd w:val="clear" w:color="auto" w:fill="auto"/>
            <w:vAlign w:val="center"/>
          </w:tcPr>
          <w:p w14:paraId="74C46CC9" w14:textId="77777777" w:rsidR="00F0566E" w:rsidRDefault="00000000">
            <w:pPr>
              <w:widowControl/>
              <w:jc w:val="center"/>
              <w:textAlignment w:val="center"/>
              <w:rPr>
                <w:rFonts w:ascii="Calibri" w:eastAsia="宋体" w:hAnsi="Calibri" w:cs="Calibri"/>
                <w:color w:val="000000"/>
                <w:sz w:val="21"/>
                <w:szCs w:val="21"/>
              </w:rPr>
            </w:pPr>
            <w:r>
              <w:rPr>
                <w:rFonts w:ascii="宋体" w:eastAsia="宋体" w:hAnsi="宋体" w:cs="宋体" w:hint="eastAsia"/>
                <w:color w:val="000000"/>
                <w:kern w:val="0"/>
                <w:sz w:val="21"/>
                <w:szCs w:val="21"/>
                <w:lang w:bidi="ar"/>
              </w:rPr>
              <w:t>资金来源</w:t>
            </w:r>
          </w:p>
        </w:tc>
        <w:tc>
          <w:tcPr>
            <w:tcW w:w="1129" w:type="dxa"/>
            <w:vMerge w:val="restart"/>
            <w:tcBorders>
              <w:top w:val="nil"/>
              <w:left w:val="nil"/>
              <w:bottom w:val="single" w:sz="4" w:space="0" w:color="000000"/>
              <w:right w:val="single" w:sz="4" w:space="0" w:color="000000"/>
            </w:tcBorders>
            <w:shd w:val="clear" w:color="auto" w:fill="auto"/>
            <w:vAlign w:val="center"/>
          </w:tcPr>
          <w:p w14:paraId="2E8E4A5D"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年初预算数</w:t>
            </w:r>
          </w:p>
        </w:tc>
        <w:tc>
          <w:tcPr>
            <w:tcW w:w="1107" w:type="dxa"/>
            <w:tcBorders>
              <w:top w:val="single" w:sz="4" w:space="0" w:color="000000"/>
              <w:left w:val="nil"/>
              <w:bottom w:val="single" w:sz="4" w:space="0" w:color="000000"/>
              <w:right w:val="single" w:sz="4" w:space="0" w:color="000000"/>
            </w:tcBorders>
            <w:shd w:val="clear" w:color="auto" w:fill="auto"/>
            <w:vAlign w:val="center"/>
          </w:tcPr>
          <w:p w14:paraId="23C7A8A1"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全年预算数</w:t>
            </w:r>
          </w:p>
        </w:tc>
        <w:tc>
          <w:tcPr>
            <w:tcW w:w="990" w:type="dxa"/>
            <w:gridSpan w:val="2"/>
            <w:tcBorders>
              <w:top w:val="single" w:sz="4" w:space="0" w:color="000000"/>
              <w:left w:val="nil"/>
              <w:bottom w:val="single" w:sz="4" w:space="0" w:color="000000"/>
              <w:right w:val="single" w:sz="4" w:space="0" w:color="000000"/>
            </w:tcBorders>
            <w:shd w:val="clear" w:color="auto" w:fill="auto"/>
            <w:vAlign w:val="center"/>
          </w:tcPr>
          <w:p w14:paraId="3D9CEFF8"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全年执行数</w:t>
            </w:r>
          </w:p>
        </w:tc>
        <w:tc>
          <w:tcPr>
            <w:tcW w:w="2757" w:type="dxa"/>
            <w:tcBorders>
              <w:top w:val="single" w:sz="4" w:space="0" w:color="000000"/>
              <w:left w:val="nil"/>
              <w:bottom w:val="single" w:sz="4" w:space="0" w:color="000000"/>
              <w:right w:val="single" w:sz="4" w:space="0" w:color="000000"/>
            </w:tcBorders>
            <w:shd w:val="clear" w:color="auto" w:fill="auto"/>
            <w:vAlign w:val="center"/>
          </w:tcPr>
          <w:p w14:paraId="48AEE1DF"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执行率</w:t>
            </w:r>
          </w:p>
        </w:tc>
      </w:tr>
      <w:tr w:rsidR="00F0566E" w14:paraId="00D1EA20" w14:textId="77777777">
        <w:trPr>
          <w:trHeight w:val="314"/>
        </w:trPr>
        <w:tc>
          <w:tcPr>
            <w:tcW w:w="686" w:type="dxa"/>
            <w:gridSpan w:val="2"/>
            <w:vMerge/>
            <w:tcBorders>
              <w:top w:val="nil"/>
              <w:left w:val="single" w:sz="4" w:space="0" w:color="000000"/>
              <w:bottom w:val="single" w:sz="4" w:space="0" w:color="000000"/>
              <w:right w:val="single" w:sz="4" w:space="0" w:color="000000"/>
            </w:tcBorders>
            <w:shd w:val="clear" w:color="auto" w:fill="auto"/>
            <w:vAlign w:val="center"/>
          </w:tcPr>
          <w:p w14:paraId="67432590" w14:textId="77777777" w:rsidR="00F0566E" w:rsidRDefault="00F0566E">
            <w:pPr>
              <w:rPr>
                <w:rFonts w:cs="Times New Roman"/>
                <w:sz w:val="20"/>
                <w:szCs w:val="20"/>
              </w:rPr>
            </w:pPr>
          </w:p>
        </w:tc>
        <w:tc>
          <w:tcPr>
            <w:tcW w:w="2043" w:type="dxa"/>
            <w:gridSpan w:val="2"/>
            <w:vMerge/>
            <w:tcBorders>
              <w:top w:val="nil"/>
              <w:left w:val="nil"/>
              <w:bottom w:val="single" w:sz="4" w:space="0" w:color="000000"/>
              <w:right w:val="single" w:sz="4" w:space="0" w:color="000000"/>
            </w:tcBorders>
            <w:shd w:val="clear" w:color="auto" w:fill="auto"/>
            <w:vAlign w:val="center"/>
          </w:tcPr>
          <w:p w14:paraId="1604E3F3" w14:textId="77777777" w:rsidR="00F0566E" w:rsidRDefault="00F0566E">
            <w:pPr>
              <w:rPr>
                <w:rFonts w:cs="Times New Roman"/>
                <w:sz w:val="20"/>
                <w:szCs w:val="20"/>
              </w:rPr>
            </w:pPr>
          </w:p>
        </w:tc>
        <w:tc>
          <w:tcPr>
            <w:tcW w:w="1129" w:type="dxa"/>
            <w:vMerge/>
            <w:tcBorders>
              <w:top w:val="nil"/>
              <w:left w:val="nil"/>
              <w:bottom w:val="single" w:sz="4" w:space="0" w:color="000000"/>
              <w:right w:val="single" w:sz="4" w:space="0" w:color="000000"/>
            </w:tcBorders>
            <w:shd w:val="clear" w:color="auto" w:fill="auto"/>
            <w:vAlign w:val="center"/>
          </w:tcPr>
          <w:p w14:paraId="54A9A490" w14:textId="77777777" w:rsidR="00F0566E" w:rsidRDefault="00F0566E">
            <w:pPr>
              <w:rPr>
                <w:rFonts w:cs="Times New Roman"/>
                <w:sz w:val="20"/>
                <w:szCs w:val="20"/>
              </w:rPr>
            </w:pPr>
          </w:p>
        </w:tc>
        <w:tc>
          <w:tcPr>
            <w:tcW w:w="1107" w:type="dxa"/>
            <w:tcBorders>
              <w:top w:val="single" w:sz="4" w:space="0" w:color="000000"/>
              <w:left w:val="nil"/>
              <w:bottom w:val="single" w:sz="4" w:space="0" w:color="000000"/>
              <w:right w:val="single" w:sz="4" w:space="0" w:color="000000"/>
            </w:tcBorders>
            <w:shd w:val="clear" w:color="auto" w:fill="auto"/>
            <w:vAlign w:val="center"/>
          </w:tcPr>
          <w:p w14:paraId="0B1B0680" w14:textId="77777777" w:rsidR="00F0566E" w:rsidRDefault="00000000">
            <w:pPr>
              <w:widowControl/>
              <w:jc w:val="center"/>
              <w:textAlignment w:val="center"/>
              <w:rPr>
                <w:rFonts w:ascii="宋体" w:eastAsia="宋体" w:hAnsi="宋体" w:cs="宋体"/>
                <w:color w:val="000000"/>
                <w:sz w:val="18"/>
                <w:szCs w:val="18"/>
              </w:rPr>
            </w:pPr>
            <w:r>
              <w:rPr>
                <w:rStyle w:val="15"/>
                <w:lang w:bidi="ar"/>
              </w:rPr>
              <w:t>（</w:t>
            </w:r>
            <w:r>
              <w:rPr>
                <w:rStyle w:val="18"/>
                <w:lang w:bidi="ar"/>
              </w:rPr>
              <w:t>A</w:t>
            </w:r>
            <w:r>
              <w:rPr>
                <w:rStyle w:val="15"/>
                <w:lang w:bidi="ar"/>
              </w:rPr>
              <w:t>）</w:t>
            </w:r>
          </w:p>
        </w:tc>
        <w:tc>
          <w:tcPr>
            <w:tcW w:w="990" w:type="dxa"/>
            <w:gridSpan w:val="2"/>
            <w:tcBorders>
              <w:top w:val="single" w:sz="4" w:space="0" w:color="000000"/>
              <w:left w:val="nil"/>
              <w:bottom w:val="single" w:sz="4" w:space="0" w:color="000000"/>
              <w:right w:val="single" w:sz="4" w:space="0" w:color="000000"/>
            </w:tcBorders>
            <w:shd w:val="clear" w:color="auto" w:fill="auto"/>
            <w:vAlign w:val="center"/>
          </w:tcPr>
          <w:p w14:paraId="26D51C57" w14:textId="77777777" w:rsidR="00F0566E" w:rsidRDefault="00000000">
            <w:pPr>
              <w:widowControl/>
              <w:jc w:val="center"/>
              <w:textAlignment w:val="center"/>
              <w:rPr>
                <w:rFonts w:ascii="宋体" w:eastAsia="宋体" w:hAnsi="宋体" w:cs="宋体"/>
                <w:color w:val="000000"/>
                <w:sz w:val="18"/>
                <w:szCs w:val="18"/>
              </w:rPr>
            </w:pPr>
            <w:r>
              <w:rPr>
                <w:rStyle w:val="15"/>
                <w:lang w:bidi="ar"/>
              </w:rPr>
              <w:t>（</w:t>
            </w:r>
            <w:r>
              <w:rPr>
                <w:rStyle w:val="18"/>
                <w:lang w:bidi="ar"/>
              </w:rPr>
              <w:t>B</w:t>
            </w:r>
            <w:r>
              <w:rPr>
                <w:rStyle w:val="15"/>
                <w:lang w:bidi="ar"/>
              </w:rPr>
              <w:t>）</w:t>
            </w:r>
          </w:p>
        </w:tc>
        <w:tc>
          <w:tcPr>
            <w:tcW w:w="2757" w:type="dxa"/>
            <w:tcBorders>
              <w:top w:val="single" w:sz="4" w:space="0" w:color="000000"/>
              <w:left w:val="nil"/>
              <w:bottom w:val="single" w:sz="4" w:space="0" w:color="000000"/>
              <w:right w:val="single" w:sz="4" w:space="0" w:color="000000"/>
            </w:tcBorders>
            <w:shd w:val="clear" w:color="auto" w:fill="auto"/>
            <w:vAlign w:val="center"/>
          </w:tcPr>
          <w:p w14:paraId="58AD0627" w14:textId="77777777" w:rsidR="00F0566E" w:rsidRDefault="00000000">
            <w:pPr>
              <w:widowControl/>
              <w:jc w:val="center"/>
              <w:textAlignment w:val="center"/>
              <w:rPr>
                <w:rFonts w:ascii="宋体" w:eastAsia="宋体" w:hAnsi="宋体" w:cs="宋体"/>
                <w:color w:val="000000"/>
                <w:sz w:val="18"/>
                <w:szCs w:val="18"/>
              </w:rPr>
            </w:pPr>
            <w:r>
              <w:rPr>
                <w:rStyle w:val="15"/>
                <w:lang w:bidi="ar"/>
              </w:rPr>
              <w:t>（</w:t>
            </w:r>
            <w:r>
              <w:rPr>
                <w:rStyle w:val="18"/>
                <w:lang w:bidi="ar"/>
              </w:rPr>
              <w:t>B/A</w:t>
            </w:r>
            <w:r>
              <w:rPr>
                <w:rStyle w:val="15"/>
                <w:lang w:bidi="ar"/>
              </w:rPr>
              <w:t>）</w:t>
            </w:r>
          </w:p>
        </w:tc>
      </w:tr>
      <w:tr w:rsidR="00F0566E" w14:paraId="52A6874D" w14:textId="77777777">
        <w:trPr>
          <w:trHeight w:val="367"/>
        </w:trPr>
        <w:tc>
          <w:tcPr>
            <w:tcW w:w="686" w:type="dxa"/>
            <w:gridSpan w:val="2"/>
            <w:vMerge/>
            <w:tcBorders>
              <w:top w:val="nil"/>
              <w:left w:val="single" w:sz="4" w:space="0" w:color="000000"/>
              <w:bottom w:val="single" w:sz="4" w:space="0" w:color="000000"/>
              <w:right w:val="single" w:sz="4" w:space="0" w:color="000000"/>
            </w:tcBorders>
            <w:shd w:val="clear" w:color="auto" w:fill="auto"/>
            <w:vAlign w:val="center"/>
          </w:tcPr>
          <w:p w14:paraId="100F8CF1" w14:textId="77777777" w:rsidR="00F0566E" w:rsidRDefault="00F0566E">
            <w:pPr>
              <w:rPr>
                <w:rFonts w:cs="Times New Roman"/>
                <w:sz w:val="20"/>
                <w:szCs w:val="20"/>
              </w:rPr>
            </w:pPr>
          </w:p>
        </w:tc>
        <w:tc>
          <w:tcPr>
            <w:tcW w:w="2043" w:type="dxa"/>
            <w:gridSpan w:val="2"/>
            <w:tcBorders>
              <w:top w:val="single" w:sz="4" w:space="0" w:color="000000"/>
              <w:left w:val="nil"/>
              <w:bottom w:val="single" w:sz="4" w:space="0" w:color="000000"/>
              <w:right w:val="single" w:sz="4" w:space="0" w:color="000000"/>
            </w:tcBorders>
            <w:shd w:val="clear" w:color="auto" w:fill="auto"/>
            <w:vAlign w:val="center"/>
          </w:tcPr>
          <w:p w14:paraId="3F9EBFAF"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年度资金总额</w:t>
            </w:r>
          </w:p>
        </w:tc>
        <w:tc>
          <w:tcPr>
            <w:tcW w:w="1129" w:type="dxa"/>
            <w:tcBorders>
              <w:top w:val="single" w:sz="4" w:space="0" w:color="000000"/>
              <w:left w:val="nil"/>
              <w:bottom w:val="single" w:sz="4" w:space="0" w:color="000000"/>
              <w:right w:val="single" w:sz="4" w:space="0" w:color="000000"/>
            </w:tcBorders>
            <w:shd w:val="clear" w:color="auto" w:fill="auto"/>
            <w:vAlign w:val="center"/>
          </w:tcPr>
          <w:p w14:paraId="482C8284" w14:textId="77777777" w:rsidR="00F0566E" w:rsidRDefault="00F0566E">
            <w:pPr>
              <w:widowControl/>
              <w:rPr>
                <w:rFonts w:eastAsia="宋体" w:cs="Times New Roman"/>
                <w:color w:val="000000"/>
                <w:sz w:val="18"/>
                <w:szCs w:val="18"/>
              </w:rPr>
            </w:pPr>
          </w:p>
        </w:tc>
        <w:tc>
          <w:tcPr>
            <w:tcW w:w="1107" w:type="dxa"/>
            <w:tcBorders>
              <w:top w:val="single" w:sz="4" w:space="0" w:color="000000"/>
              <w:left w:val="nil"/>
              <w:bottom w:val="single" w:sz="4" w:space="0" w:color="000000"/>
              <w:right w:val="single" w:sz="4" w:space="0" w:color="000000"/>
            </w:tcBorders>
            <w:shd w:val="clear" w:color="auto" w:fill="auto"/>
            <w:vAlign w:val="center"/>
          </w:tcPr>
          <w:p w14:paraId="6E97CD54" w14:textId="77777777" w:rsidR="00F0566E" w:rsidRDefault="00000000">
            <w:pPr>
              <w:widowControl/>
              <w:jc w:val="left"/>
              <w:textAlignment w:val="center"/>
              <w:rPr>
                <w:rFonts w:eastAsia="宋体" w:cs="Times New Roman"/>
                <w:color w:val="000000"/>
                <w:sz w:val="18"/>
                <w:szCs w:val="18"/>
              </w:rPr>
            </w:pPr>
            <w:r>
              <w:rPr>
                <w:rFonts w:eastAsia="宋体" w:cs="Times New Roman"/>
                <w:color w:val="000000"/>
                <w:kern w:val="0"/>
                <w:sz w:val="18"/>
                <w:szCs w:val="18"/>
                <w:lang w:bidi="ar"/>
              </w:rPr>
              <w:t>27.588</w:t>
            </w:r>
          </w:p>
        </w:tc>
        <w:tc>
          <w:tcPr>
            <w:tcW w:w="990" w:type="dxa"/>
            <w:gridSpan w:val="2"/>
            <w:tcBorders>
              <w:top w:val="single" w:sz="4" w:space="0" w:color="000000"/>
              <w:left w:val="nil"/>
              <w:bottom w:val="single" w:sz="4" w:space="0" w:color="000000"/>
              <w:right w:val="single" w:sz="4" w:space="0" w:color="000000"/>
            </w:tcBorders>
            <w:shd w:val="clear" w:color="auto" w:fill="auto"/>
            <w:vAlign w:val="center"/>
          </w:tcPr>
          <w:p w14:paraId="50AD0561" w14:textId="77777777" w:rsidR="00F0566E" w:rsidRDefault="00000000">
            <w:pPr>
              <w:widowControl/>
              <w:jc w:val="left"/>
              <w:textAlignment w:val="center"/>
              <w:rPr>
                <w:rFonts w:eastAsia="宋体" w:cs="Times New Roman"/>
                <w:color w:val="000000"/>
                <w:sz w:val="18"/>
                <w:szCs w:val="18"/>
              </w:rPr>
            </w:pPr>
            <w:r>
              <w:rPr>
                <w:rFonts w:eastAsia="宋体" w:cs="Times New Roman"/>
                <w:color w:val="000000"/>
                <w:kern w:val="0"/>
                <w:sz w:val="18"/>
                <w:szCs w:val="18"/>
                <w:lang w:bidi="ar"/>
              </w:rPr>
              <w:t>27.588</w:t>
            </w:r>
          </w:p>
        </w:tc>
        <w:tc>
          <w:tcPr>
            <w:tcW w:w="2757" w:type="dxa"/>
            <w:tcBorders>
              <w:top w:val="single" w:sz="4" w:space="0" w:color="000000"/>
              <w:left w:val="nil"/>
              <w:bottom w:val="single" w:sz="4" w:space="0" w:color="000000"/>
              <w:right w:val="single" w:sz="4" w:space="0" w:color="000000"/>
            </w:tcBorders>
            <w:shd w:val="clear" w:color="auto" w:fill="auto"/>
            <w:vAlign w:val="center"/>
          </w:tcPr>
          <w:p w14:paraId="18B42971"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100.0%</w:t>
            </w:r>
          </w:p>
        </w:tc>
      </w:tr>
      <w:tr w:rsidR="00F0566E" w14:paraId="06BCEDB7" w14:textId="77777777">
        <w:trPr>
          <w:trHeight w:val="367"/>
        </w:trPr>
        <w:tc>
          <w:tcPr>
            <w:tcW w:w="686" w:type="dxa"/>
            <w:gridSpan w:val="2"/>
            <w:vMerge/>
            <w:tcBorders>
              <w:top w:val="nil"/>
              <w:left w:val="single" w:sz="4" w:space="0" w:color="000000"/>
              <w:bottom w:val="single" w:sz="4" w:space="0" w:color="000000"/>
              <w:right w:val="single" w:sz="4" w:space="0" w:color="000000"/>
            </w:tcBorders>
            <w:shd w:val="clear" w:color="auto" w:fill="auto"/>
            <w:vAlign w:val="center"/>
          </w:tcPr>
          <w:p w14:paraId="59A1781A" w14:textId="77777777" w:rsidR="00F0566E" w:rsidRDefault="00F0566E">
            <w:pPr>
              <w:rPr>
                <w:rFonts w:cs="Times New Roman"/>
                <w:sz w:val="20"/>
                <w:szCs w:val="20"/>
              </w:rPr>
            </w:pPr>
          </w:p>
        </w:tc>
        <w:tc>
          <w:tcPr>
            <w:tcW w:w="2043" w:type="dxa"/>
            <w:gridSpan w:val="2"/>
            <w:tcBorders>
              <w:top w:val="single" w:sz="4" w:space="0" w:color="000000"/>
              <w:left w:val="nil"/>
              <w:bottom w:val="single" w:sz="4" w:space="0" w:color="000000"/>
              <w:right w:val="single" w:sz="4" w:space="0" w:color="000000"/>
            </w:tcBorders>
            <w:shd w:val="clear" w:color="auto" w:fill="auto"/>
            <w:vAlign w:val="center"/>
          </w:tcPr>
          <w:p w14:paraId="22896333" w14:textId="77777777" w:rsidR="00F0566E" w:rsidRDefault="00000000">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其中：一般公共预算本级资金</w:t>
            </w:r>
          </w:p>
        </w:tc>
        <w:tc>
          <w:tcPr>
            <w:tcW w:w="1129" w:type="dxa"/>
            <w:tcBorders>
              <w:top w:val="single" w:sz="4" w:space="0" w:color="000000"/>
              <w:left w:val="nil"/>
              <w:bottom w:val="single" w:sz="4" w:space="0" w:color="000000"/>
              <w:right w:val="single" w:sz="4" w:space="0" w:color="000000"/>
            </w:tcBorders>
            <w:shd w:val="clear" w:color="auto" w:fill="auto"/>
            <w:vAlign w:val="center"/>
          </w:tcPr>
          <w:p w14:paraId="0BAF68A2" w14:textId="77777777" w:rsidR="00F0566E" w:rsidRDefault="00F0566E">
            <w:pPr>
              <w:widowControl/>
              <w:rPr>
                <w:rFonts w:eastAsia="宋体" w:cs="Times New Roman"/>
                <w:color w:val="000000"/>
                <w:sz w:val="18"/>
                <w:szCs w:val="18"/>
              </w:rPr>
            </w:pPr>
          </w:p>
        </w:tc>
        <w:tc>
          <w:tcPr>
            <w:tcW w:w="1107" w:type="dxa"/>
            <w:tcBorders>
              <w:top w:val="single" w:sz="4" w:space="0" w:color="000000"/>
              <w:left w:val="nil"/>
              <w:bottom w:val="single" w:sz="4" w:space="0" w:color="000000"/>
              <w:right w:val="single" w:sz="4" w:space="0" w:color="000000"/>
            </w:tcBorders>
            <w:shd w:val="clear" w:color="auto" w:fill="auto"/>
            <w:vAlign w:val="center"/>
          </w:tcPr>
          <w:p w14:paraId="634DBECE" w14:textId="77777777" w:rsidR="00F0566E" w:rsidRDefault="00000000">
            <w:pPr>
              <w:widowControl/>
              <w:jc w:val="left"/>
              <w:textAlignment w:val="center"/>
              <w:rPr>
                <w:rFonts w:eastAsia="宋体" w:cs="Times New Roman"/>
                <w:color w:val="000000"/>
                <w:sz w:val="18"/>
                <w:szCs w:val="18"/>
              </w:rPr>
            </w:pPr>
            <w:r>
              <w:rPr>
                <w:rFonts w:eastAsia="宋体" w:cs="Times New Roman"/>
                <w:color w:val="000000"/>
                <w:kern w:val="0"/>
                <w:sz w:val="18"/>
                <w:szCs w:val="18"/>
                <w:lang w:bidi="ar"/>
              </w:rPr>
              <w:t>27.588</w:t>
            </w:r>
          </w:p>
        </w:tc>
        <w:tc>
          <w:tcPr>
            <w:tcW w:w="990" w:type="dxa"/>
            <w:gridSpan w:val="2"/>
            <w:tcBorders>
              <w:top w:val="single" w:sz="4" w:space="0" w:color="000000"/>
              <w:left w:val="nil"/>
              <w:bottom w:val="single" w:sz="4" w:space="0" w:color="000000"/>
              <w:right w:val="single" w:sz="4" w:space="0" w:color="000000"/>
            </w:tcBorders>
            <w:shd w:val="clear" w:color="auto" w:fill="auto"/>
            <w:vAlign w:val="center"/>
          </w:tcPr>
          <w:p w14:paraId="389DC844" w14:textId="77777777" w:rsidR="00F0566E" w:rsidRDefault="00000000">
            <w:pPr>
              <w:widowControl/>
              <w:jc w:val="left"/>
              <w:textAlignment w:val="center"/>
              <w:rPr>
                <w:rFonts w:eastAsia="宋体" w:cs="Times New Roman"/>
                <w:color w:val="000000"/>
                <w:sz w:val="18"/>
                <w:szCs w:val="18"/>
              </w:rPr>
            </w:pPr>
            <w:r>
              <w:rPr>
                <w:rFonts w:eastAsia="宋体" w:cs="Times New Roman"/>
                <w:color w:val="000000"/>
                <w:kern w:val="0"/>
                <w:sz w:val="18"/>
                <w:szCs w:val="18"/>
                <w:lang w:bidi="ar"/>
              </w:rPr>
              <w:t>27.588</w:t>
            </w:r>
          </w:p>
        </w:tc>
        <w:tc>
          <w:tcPr>
            <w:tcW w:w="2757" w:type="dxa"/>
            <w:tcBorders>
              <w:top w:val="single" w:sz="4" w:space="0" w:color="000000"/>
              <w:left w:val="nil"/>
              <w:bottom w:val="single" w:sz="4" w:space="0" w:color="000000"/>
              <w:right w:val="single" w:sz="4" w:space="0" w:color="000000"/>
            </w:tcBorders>
            <w:shd w:val="clear" w:color="auto" w:fill="auto"/>
            <w:vAlign w:val="center"/>
          </w:tcPr>
          <w:p w14:paraId="1818B3F8"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100.0%</w:t>
            </w:r>
          </w:p>
        </w:tc>
      </w:tr>
      <w:tr w:rsidR="00F0566E" w14:paraId="22706401" w14:textId="77777777">
        <w:trPr>
          <w:trHeight w:val="367"/>
        </w:trPr>
        <w:tc>
          <w:tcPr>
            <w:tcW w:w="686" w:type="dxa"/>
            <w:gridSpan w:val="2"/>
            <w:vMerge/>
            <w:tcBorders>
              <w:top w:val="nil"/>
              <w:left w:val="single" w:sz="4" w:space="0" w:color="000000"/>
              <w:bottom w:val="single" w:sz="4" w:space="0" w:color="000000"/>
              <w:right w:val="single" w:sz="4" w:space="0" w:color="000000"/>
            </w:tcBorders>
            <w:shd w:val="clear" w:color="auto" w:fill="auto"/>
            <w:vAlign w:val="center"/>
          </w:tcPr>
          <w:p w14:paraId="18F836F0" w14:textId="77777777" w:rsidR="00F0566E" w:rsidRDefault="00F0566E">
            <w:pPr>
              <w:rPr>
                <w:rFonts w:cs="Times New Roman"/>
                <w:sz w:val="20"/>
                <w:szCs w:val="20"/>
              </w:rPr>
            </w:pPr>
          </w:p>
        </w:tc>
        <w:tc>
          <w:tcPr>
            <w:tcW w:w="2043" w:type="dxa"/>
            <w:gridSpan w:val="2"/>
            <w:tcBorders>
              <w:top w:val="single" w:sz="4" w:space="0" w:color="000000"/>
              <w:left w:val="nil"/>
              <w:bottom w:val="single" w:sz="4" w:space="0" w:color="000000"/>
              <w:right w:val="single" w:sz="4" w:space="0" w:color="000000"/>
            </w:tcBorders>
            <w:shd w:val="clear" w:color="auto" w:fill="auto"/>
            <w:vAlign w:val="center"/>
          </w:tcPr>
          <w:p w14:paraId="0560442C" w14:textId="77777777" w:rsidR="00F0566E" w:rsidRDefault="00000000">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一般公共预算上级资金</w:t>
            </w:r>
          </w:p>
        </w:tc>
        <w:tc>
          <w:tcPr>
            <w:tcW w:w="1129" w:type="dxa"/>
            <w:tcBorders>
              <w:top w:val="single" w:sz="4" w:space="0" w:color="000000"/>
              <w:left w:val="nil"/>
              <w:bottom w:val="single" w:sz="4" w:space="0" w:color="000000"/>
              <w:right w:val="single" w:sz="4" w:space="0" w:color="000000"/>
            </w:tcBorders>
            <w:shd w:val="clear" w:color="auto" w:fill="auto"/>
            <w:vAlign w:val="center"/>
          </w:tcPr>
          <w:p w14:paraId="5923FB30" w14:textId="77777777" w:rsidR="00F0566E" w:rsidRDefault="00F0566E">
            <w:pPr>
              <w:widowControl/>
              <w:rPr>
                <w:rFonts w:eastAsia="宋体" w:cs="Times New Roman"/>
                <w:color w:val="000000"/>
                <w:sz w:val="18"/>
                <w:szCs w:val="18"/>
              </w:rPr>
            </w:pPr>
          </w:p>
        </w:tc>
        <w:tc>
          <w:tcPr>
            <w:tcW w:w="1107" w:type="dxa"/>
            <w:tcBorders>
              <w:top w:val="single" w:sz="4" w:space="0" w:color="000000"/>
              <w:left w:val="nil"/>
              <w:bottom w:val="single" w:sz="4" w:space="0" w:color="000000"/>
              <w:right w:val="single" w:sz="4" w:space="0" w:color="000000"/>
            </w:tcBorders>
            <w:shd w:val="clear" w:color="auto" w:fill="auto"/>
            <w:vAlign w:val="center"/>
          </w:tcPr>
          <w:p w14:paraId="54684AE9" w14:textId="77777777" w:rsidR="00F0566E" w:rsidRDefault="00F0566E">
            <w:pPr>
              <w:widowControl/>
              <w:rPr>
                <w:rFonts w:eastAsia="宋体" w:cs="Times New Roman"/>
                <w:color w:val="000000"/>
                <w:sz w:val="18"/>
                <w:szCs w:val="18"/>
              </w:rPr>
            </w:pPr>
          </w:p>
        </w:tc>
        <w:tc>
          <w:tcPr>
            <w:tcW w:w="990" w:type="dxa"/>
            <w:gridSpan w:val="2"/>
            <w:tcBorders>
              <w:top w:val="single" w:sz="4" w:space="0" w:color="000000"/>
              <w:left w:val="nil"/>
              <w:bottom w:val="single" w:sz="4" w:space="0" w:color="000000"/>
              <w:right w:val="single" w:sz="4" w:space="0" w:color="000000"/>
            </w:tcBorders>
            <w:shd w:val="clear" w:color="auto" w:fill="auto"/>
            <w:vAlign w:val="center"/>
          </w:tcPr>
          <w:p w14:paraId="400EAAC1" w14:textId="77777777" w:rsidR="00F0566E" w:rsidRDefault="00F0566E">
            <w:pPr>
              <w:widowControl/>
              <w:rPr>
                <w:rFonts w:eastAsia="宋体" w:cs="Times New Roman"/>
                <w:color w:val="000000"/>
                <w:sz w:val="18"/>
                <w:szCs w:val="18"/>
              </w:rPr>
            </w:pPr>
          </w:p>
        </w:tc>
        <w:tc>
          <w:tcPr>
            <w:tcW w:w="2757" w:type="dxa"/>
            <w:tcBorders>
              <w:top w:val="single" w:sz="4" w:space="0" w:color="000000"/>
              <w:left w:val="nil"/>
              <w:bottom w:val="single" w:sz="4" w:space="0" w:color="000000"/>
              <w:right w:val="single" w:sz="4" w:space="0" w:color="000000"/>
            </w:tcBorders>
            <w:shd w:val="clear" w:color="auto" w:fill="auto"/>
            <w:vAlign w:val="center"/>
          </w:tcPr>
          <w:p w14:paraId="0DB98D5A" w14:textId="77777777" w:rsidR="00F0566E" w:rsidRDefault="00F0566E">
            <w:pPr>
              <w:widowControl/>
              <w:jc w:val="center"/>
              <w:rPr>
                <w:rFonts w:eastAsia="宋体" w:cs="Times New Roman"/>
                <w:color w:val="000000"/>
                <w:sz w:val="18"/>
                <w:szCs w:val="18"/>
              </w:rPr>
            </w:pPr>
          </w:p>
        </w:tc>
      </w:tr>
      <w:tr w:rsidR="00F0566E" w14:paraId="47B01699" w14:textId="77777777">
        <w:trPr>
          <w:trHeight w:val="321"/>
        </w:trPr>
        <w:tc>
          <w:tcPr>
            <w:tcW w:w="686" w:type="dxa"/>
            <w:gridSpan w:val="2"/>
            <w:vMerge/>
            <w:tcBorders>
              <w:top w:val="nil"/>
              <w:left w:val="single" w:sz="4" w:space="0" w:color="000000"/>
              <w:bottom w:val="single" w:sz="4" w:space="0" w:color="000000"/>
              <w:right w:val="single" w:sz="4" w:space="0" w:color="000000"/>
            </w:tcBorders>
            <w:shd w:val="clear" w:color="auto" w:fill="auto"/>
            <w:vAlign w:val="center"/>
          </w:tcPr>
          <w:p w14:paraId="4CB93794" w14:textId="77777777" w:rsidR="00F0566E" w:rsidRDefault="00F0566E">
            <w:pPr>
              <w:rPr>
                <w:rFonts w:cs="Times New Roman"/>
                <w:sz w:val="20"/>
                <w:szCs w:val="20"/>
              </w:rPr>
            </w:pPr>
          </w:p>
        </w:tc>
        <w:tc>
          <w:tcPr>
            <w:tcW w:w="2043" w:type="dxa"/>
            <w:gridSpan w:val="2"/>
            <w:tcBorders>
              <w:top w:val="single" w:sz="4" w:space="0" w:color="000000"/>
              <w:left w:val="nil"/>
              <w:bottom w:val="single" w:sz="4" w:space="0" w:color="000000"/>
              <w:right w:val="single" w:sz="4" w:space="0" w:color="000000"/>
            </w:tcBorders>
            <w:shd w:val="clear" w:color="auto" w:fill="auto"/>
            <w:vAlign w:val="center"/>
          </w:tcPr>
          <w:p w14:paraId="789611F6"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政府性基金预算本级资金</w:t>
            </w:r>
          </w:p>
        </w:tc>
        <w:tc>
          <w:tcPr>
            <w:tcW w:w="1129" w:type="dxa"/>
            <w:tcBorders>
              <w:top w:val="single" w:sz="4" w:space="0" w:color="000000"/>
              <w:left w:val="nil"/>
              <w:bottom w:val="single" w:sz="4" w:space="0" w:color="000000"/>
              <w:right w:val="single" w:sz="4" w:space="0" w:color="000000"/>
            </w:tcBorders>
            <w:shd w:val="clear" w:color="auto" w:fill="auto"/>
            <w:vAlign w:val="center"/>
          </w:tcPr>
          <w:p w14:paraId="303C0B78" w14:textId="77777777" w:rsidR="00F0566E" w:rsidRDefault="00F0566E">
            <w:pPr>
              <w:widowControl/>
              <w:rPr>
                <w:rFonts w:eastAsia="宋体" w:cs="Times New Roman"/>
                <w:color w:val="000000"/>
                <w:sz w:val="18"/>
                <w:szCs w:val="18"/>
              </w:rPr>
            </w:pPr>
          </w:p>
        </w:tc>
        <w:tc>
          <w:tcPr>
            <w:tcW w:w="1107" w:type="dxa"/>
            <w:tcBorders>
              <w:top w:val="single" w:sz="4" w:space="0" w:color="000000"/>
              <w:left w:val="nil"/>
              <w:bottom w:val="single" w:sz="4" w:space="0" w:color="000000"/>
              <w:right w:val="single" w:sz="4" w:space="0" w:color="000000"/>
            </w:tcBorders>
            <w:shd w:val="clear" w:color="auto" w:fill="auto"/>
            <w:vAlign w:val="center"/>
          </w:tcPr>
          <w:p w14:paraId="0A90D33D" w14:textId="77777777" w:rsidR="00F0566E" w:rsidRDefault="00F0566E">
            <w:pPr>
              <w:widowControl/>
              <w:rPr>
                <w:rFonts w:eastAsia="宋体" w:cs="Times New Roman"/>
                <w:color w:val="000000"/>
                <w:sz w:val="18"/>
                <w:szCs w:val="18"/>
              </w:rPr>
            </w:pPr>
          </w:p>
        </w:tc>
        <w:tc>
          <w:tcPr>
            <w:tcW w:w="990" w:type="dxa"/>
            <w:gridSpan w:val="2"/>
            <w:tcBorders>
              <w:top w:val="single" w:sz="4" w:space="0" w:color="000000"/>
              <w:left w:val="nil"/>
              <w:bottom w:val="single" w:sz="4" w:space="0" w:color="000000"/>
              <w:right w:val="single" w:sz="4" w:space="0" w:color="000000"/>
            </w:tcBorders>
            <w:shd w:val="clear" w:color="auto" w:fill="auto"/>
            <w:vAlign w:val="center"/>
          </w:tcPr>
          <w:p w14:paraId="71047A10" w14:textId="77777777" w:rsidR="00F0566E" w:rsidRDefault="00F0566E">
            <w:pPr>
              <w:widowControl/>
              <w:rPr>
                <w:rFonts w:eastAsia="宋体" w:cs="Times New Roman"/>
                <w:color w:val="000000"/>
                <w:sz w:val="18"/>
                <w:szCs w:val="18"/>
              </w:rPr>
            </w:pPr>
          </w:p>
        </w:tc>
        <w:tc>
          <w:tcPr>
            <w:tcW w:w="2757" w:type="dxa"/>
            <w:tcBorders>
              <w:top w:val="single" w:sz="4" w:space="0" w:color="000000"/>
              <w:left w:val="nil"/>
              <w:bottom w:val="single" w:sz="4" w:space="0" w:color="000000"/>
              <w:right w:val="single" w:sz="4" w:space="0" w:color="000000"/>
            </w:tcBorders>
            <w:shd w:val="clear" w:color="auto" w:fill="auto"/>
            <w:vAlign w:val="center"/>
          </w:tcPr>
          <w:p w14:paraId="53CBACC6" w14:textId="77777777" w:rsidR="00F0566E" w:rsidRDefault="00F0566E">
            <w:pPr>
              <w:widowControl/>
              <w:jc w:val="center"/>
              <w:rPr>
                <w:rFonts w:eastAsia="宋体" w:cs="Times New Roman"/>
                <w:color w:val="000000"/>
                <w:sz w:val="18"/>
                <w:szCs w:val="18"/>
              </w:rPr>
            </w:pPr>
          </w:p>
        </w:tc>
      </w:tr>
      <w:tr w:rsidR="00F0566E" w14:paraId="050A8699" w14:textId="77777777">
        <w:trPr>
          <w:trHeight w:val="321"/>
        </w:trPr>
        <w:tc>
          <w:tcPr>
            <w:tcW w:w="686" w:type="dxa"/>
            <w:gridSpan w:val="2"/>
            <w:vMerge/>
            <w:tcBorders>
              <w:top w:val="nil"/>
              <w:left w:val="single" w:sz="4" w:space="0" w:color="000000"/>
              <w:bottom w:val="single" w:sz="4" w:space="0" w:color="000000"/>
              <w:right w:val="single" w:sz="4" w:space="0" w:color="000000"/>
            </w:tcBorders>
            <w:shd w:val="clear" w:color="auto" w:fill="auto"/>
            <w:vAlign w:val="center"/>
          </w:tcPr>
          <w:p w14:paraId="495FD049" w14:textId="77777777" w:rsidR="00F0566E" w:rsidRDefault="00F0566E">
            <w:pPr>
              <w:rPr>
                <w:rFonts w:cs="Times New Roman"/>
                <w:sz w:val="20"/>
                <w:szCs w:val="20"/>
              </w:rPr>
            </w:pPr>
          </w:p>
        </w:tc>
        <w:tc>
          <w:tcPr>
            <w:tcW w:w="2043" w:type="dxa"/>
            <w:gridSpan w:val="2"/>
            <w:tcBorders>
              <w:top w:val="single" w:sz="4" w:space="0" w:color="000000"/>
              <w:left w:val="nil"/>
              <w:bottom w:val="single" w:sz="4" w:space="0" w:color="000000"/>
              <w:right w:val="single" w:sz="4" w:space="0" w:color="000000"/>
            </w:tcBorders>
            <w:shd w:val="clear" w:color="auto" w:fill="auto"/>
            <w:vAlign w:val="center"/>
          </w:tcPr>
          <w:p w14:paraId="7BC65F27"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政府性基金预算上级资金</w:t>
            </w:r>
          </w:p>
        </w:tc>
        <w:tc>
          <w:tcPr>
            <w:tcW w:w="1129" w:type="dxa"/>
            <w:tcBorders>
              <w:top w:val="single" w:sz="4" w:space="0" w:color="000000"/>
              <w:left w:val="nil"/>
              <w:bottom w:val="single" w:sz="4" w:space="0" w:color="000000"/>
              <w:right w:val="single" w:sz="4" w:space="0" w:color="000000"/>
            </w:tcBorders>
            <w:shd w:val="clear" w:color="auto" w:fill="auto"/>
            <w:vAlign w:val="center"/>
          </w:tcPr>
          <w:p w14:paraId="043D44D2" w14:textId="77777777" w:rsidR="00F0566E" w:rsidRDefault="00F0566E">
            <w:pPr>
              <w:widowControl/>
              <w:rPr>
                <w:rFonts w:eastAsia="宋体" w:cs="Times New Roman"/>
                <w:color w:val="000000"/>
                <w:sz w:val="18"/>
                <w:szCs w:val="18"/>
              </w:rPr>
            </w:pPr>
          </w:p>
        </w:tc>
        <w:tc>
          <w:tcPr>
            <w:tcW w:w="1107" w:type="dxa"/>
            <w:tcBorders>
              <w:top w:val="single" w:sz="4" w:space="0" w:color="000000"/>
              <w:left w:val="nil"/>
              <w:bottom w:val="single" w:sz="4" w:space="0" w:color="000000"/>
              <w:right w:val="single" w:sz="4" w:space="0" w:color="000000"/>
            </w:tcBorders>
            <w:shd w:val="clear" w:color="auto" w:fill="auto"/>
            <w:vAlign w:val="center"/>
          </w:tcPr>
          <w:p w14:paraId="3D85E443" w14:textId="77777777" w:rsidR="00F0566E" w:rsidRDefault="00F0566E">
            <w:pPr>
              <w:widowControl/>
              <w:rPr>
                <w:rFonts w:eastAsia="宋体" w:cs="Times New Roman"/>
                <w:color w:val="000000"/>
                <w:sz w:val="18"/>
                <w:szCs w:val="18"/>
              </w:rPr>
            </w:pPr>
          </w:p>
        </w:tc>
        <w:tc>
          <w:tcPr>
            <w:tcW w:w="990" w:type="dxa"/>
            <w:gridSpan w:val="2"/>
            <w:tcBorders>
              <w:top w:val="single" w:sz="4" w:space="0" w:color="000000"/>
              <w:left w:val="nil"/>
              <w:bottom w:val="single" w:sz="4" w:space="0" w:color="000000"/>
              <w:right w:val="single" w:sz="4" w:space="0" w:color="000000"/>
            </w:tcBorders>
            <w:shd w:val="clear" w:color="auto" w:fill="auto"/>
            <w:vAlign w:val="center"/>
          </w:tcPr>
          <w:p w14:paraId="5492AC1D" w14:textId="77777777" w:rsidR="00F0566E" w:rsidRDefault="00F0566E">
            <w:pPr>
              <w:widowControl/>
              <w:rPr>
                <w:rFonts w:eastAsia="宋体" w:cs="Times New Roman"/>
                <w:color w:val="000000"/>
                <w:sz w:val="18"/>
                <w:szCs w:val="18"/>
              </w:rPr>
            </w:pPr>
          </w:p>
        </w:tc>
        <w:tc>
          <w:tcPr>
            <w:tcW w:w="2757" w:type="dxa"/>
            <w:tcBorders>
              <w:top w:val="single" w:sz="4" w:space="0" w:color="000000"/>
              <w:left w:val="nil"/>
              <w:bottom w:val="single" w:sz="4" w:space="0" w:color="000000"/>
              <w:right w:val="single" w:sz="4" w:space="0" w:color="000000"/>
            </w:tcBorders>
            <w:shd w:val="clear" w:color="auto" w:fill="auto"/>
            <w:vAlign w:val="center"/>
          </w:tcPr>
          <w:p w14:paraId="19E1C335" w14:textId="77777777" w:rsidR="00F0566E" w:rsidRDefault="00F0566E">
            <w:pPr>
              <w:widowControl/>
              <w:jc w:val="center"/>
              <w:rPr>
                <w:rFonts w:eastAsia="宋体" w:cs="Times New Roman"/>
                <w:color w:val="000000"/>
                <w:sz w:val="18"/>
                <w:szCs w:val="18"/>
              </w:rPr>
            </w:pPr>
          </w:p>
        </w:tc>
      </w:tr>
      <w:tr w:rsidR="00F0566E" w14:paraId="64E9F989" w14:textId="77777777">
        <w:trPr>
          <w:trHeight w:val="321"/>
        </w:trPr>
        <w:tc>
          <w:tcPr>
            <w:tcW w:w="686" w:type="dxa"/>
            <w:gridSpan w:val="2"/>
            <w:vMerge/>
            <w:tcBorders>
              <w:top w:val="nil"/>
              <w:left w:val="single" w:sz="4" w:space="0" w:color="000000"/>
              <w:bottom w:val="single" w:sz="4" w:space="0" w:color="000000"/>
              <w:right w:val="single" w:sz="4" w:space="0" w:color="000000"/>
            </w:tcBorders>
            <w:shd w:val="clear" w:color="auto" w:fill="auto"/>
            <w:vAlign w:val="center"/>
          </w:tcPr>
          <w:p w14:paraId="7FDA53DA" w14:textId="77777777" w:rsidR="00F0566E" w:rsidRDefault="00F0566E">
            <w:pPr>
              <w:rPr>
                <w:rFonts w:cs="Times New Roman"/>
                <w:sz w:val="20"/>
                <w:szCs w:val="20"/>
              </w:rPr>
            </w:pPr>
          </w:p>
        </w:tc>
        <w:tc>
          <w:tcPr>
            <w:tcW w:w="2043" w:type="dxa"/>
            <w:gridSpan w:val="2"/>
            <w:tcBorders>
              <w:top w:val="single" w:sz="4" w:space="0" w:color="000000"/>
              <w:left w:val="nil"/>
              <w:bottom w:val="single" w:sz="4" w:space="0" w:color="000000"/>
              <w:right w:val="single" w:sz="4" w:space="0" w:color="000000"/>
            </w:tcBorders>
            <w:shd w:val="clear" w:color="auto" w:fill="auto"/>
            <w:vAlign w:val="center"/>
          </w:tcPr>
          <w:p w14:paraId="75CFBBD7" w14:textId="77777777" w:rsidR="00F0566E"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w:t>
            </w:r>
          </w:p>
        </w:tc>
        <w:tc>
          <w:tcPr>
            <w:tcW w:w="1129" w:type="dxa"/>
            <w:tcBorders>
              <w:top w:val="single" w:sz="4" w:space="0" w:color="000000"/>
              <w:left w:val="nil"/>
              <w:bottom w:val="single" w:sz="4" w:space="0" w:color="000000"/>
              <w:right w:val="single" w:sz="4" w:space="0" w:color="000000"/>
            </w:tcBorders>
            <w:shd w:val="clear" w:color="auto" w:fill="auto"/>
            <w:vAlign w:val="center"/>
          </w:tcPr>
          <w:p w14:paraId="3D662BCE" w14:textId="77777777" w:rsidR="00F0566E" w:rsidRDefault="00F0566E">
            <w:pPr>
              <w:widowControl/>
              <w:rPr>
                <w:rFonts w:eastAsia="宋体" w:cs="Times New Roman"/>
                <w:color w:val="000000"/>
                <w:sz w:val="18"/>
                <w:szCs w:val="18"/>
              </w:rPr>
            </w:pPr>
          </w:p>
        </w:tc>
        <w:tc>
          <w:tcPr>
            <w:tcW w:w="1107" w:type="dxa"/>
            <w:tcBorders>
              <w:top w:val="single" w:sz="4" w:space="0" w:color="000000"/>
              <w:left w:val="nil"/>
              <w:bottom w:val="single" w:sz="4" w:space="0" w:color="000000"/>
              <w:right w:val="single" w:sz="4" w:space="0" w:color="000000"/>
            </w:tcBorders>
            <w:shd w:val="clear" w:color="auto" w:fill="auto"/>
            <w:vAlign w:val="center"/>
          </w:tcPr>
          <w:p w14:paraId="13AB4BB1" w14:textId="77777777" w:rsidR="00F0566E" w:rsidRDefault="00F0566E">
            <w:pPr>
              <w:widowControl/>
              <w:rPr>
                <w:rFonts w:eastAsia="宋体" w:cs="Times New Roman"/>
                <w:color w:val="000000"/>
                <w:sz w:val="18"/>
                <w:szCs w:val="18"/>
              </w:rPr>
            </w:pPr>
          </w:p>
        </w:tc>
        <w:tc>
          <w:tcPr>
            <w:tcW w:w="990" w:type="dxa"/>
            <w:gridSpan w:val="2"/>
            <w:tcBorders>
              <w:top w:val="single" w:sz="4" w:space="0" w:color="000000"/>
              <w:left w:val="nil"/>
              <w:bottom w:val="single" w:sz="4" w:space="0" w:color="000000"/>
              <w:right w:val="single" w:sz="4" w:space="0" w:color="000000"/>
            </w:tcBorders>
            <w:shd w:val="clear" w:color="auto" w:fill="auto"/>
            <w:vAlign w:val="center"/>
          </w:tcPr>
          <w:p w14:paraId="2D836E37" w14:textId="77777777" w:rsidR="00F0566E" w:rsidRDefault="00F0566E">
            <w:pPr>
              <w:widowControl/>
              <w:rPr>
                <w:rFonts w:eastAsia="宋体" w:cs="Times New Roman"/>
                <w:color w:val="000000"/>
                <w:sz w:val="18"/>
                <w:szCs w:val="18"/>
              </w:rPr>
            </w:pPr>
          </w:p>
        </w:tc>
        <w:tc>
          <w:tcPr>
            <w:tcW w:w="2757" w:type="dxa"/>
            <w:tcBorders>
              <w:top w:val="single" w:sz="4" w:space="0" w:color="000000"/>
              <w:left w:val="nil"/>
              <w:bottom w:val="single" w:sz="4" w:space="0" w:color="000000"/>
              <w:right w:val="single" w:sz="4" w:space="0" w:color="000000"/>
            </w:tcBorders>
            <w:shd w:val="clear" w:color="auto" w:fill="auto"/>
            <w:vAlign w:val="center"/>
          </w:tcPr>
          <w:p w14:paraId="2627EE34" w14:textId="77777777" w:rsidR="00F0566E" w:rsidRDefault="00F0566E">
            <w:pPr>
              <w:widowControl/>
              <w:jc w:val="center"/>
              <w:rPr>
                <w:rFonts w:eastAsia="宋体" w:cs="Times New Roman"/>
                <w:color w:val="000000"/>
                <w:sz w:val="18"/>
                <w:szCs w:val="18"/>
              </w:rPr>
            </w:pPr>
          </w:p>
        </w:tc>
      </w:tr>
      <w:tr w:rsidR="00F0566E" w14:paraId="5908657E" w14:textId="77777777">
        <w:trPr>
          <w:trHeight w:val="367"/>
        </w:trPr>
        <w:tc>
          <w:tcPr>
            <w:tcW w:w="686" w:type="dxa"/>
            <w:gridSpan w:val="2"/>
            <w:vMerge/>
            <w:tcBorders>
              <w:top w:val="nil"/>
              <w:left w:val="single" w:sz="4" w:space="0" w:color="000000"/>
              <w:bottom w:val="single" w:sz="4" w:space="0" w:color="000000"/>
              <w:right w:val="single" w:sz="4" w:space="0" w:color="000000"/>
            </w:tcBorders>
            <w:shd w:val="clear" w:color="auto" w:fill="auto"/>
            <w:vAlign w:val="center"/>
          </w:tcPr>
          <w:p w14:paraId="7F16E2E5" w14:textId="77777777" w:rsidR="00F0566E" w:rsidRDefault="00F0566E">
            <w:pPr>
              <w:rPr>
                <w:rFonts w:cs="Times New Roman"/>
                <w:sz w:val="20"/>
                <w:szCs w:val="20"/>
              </w:rPr>
            </w:pPr>
          </w:p>
        </w:tc>
        <w:tc>
          <w:tcPr>
            <w:tcW w:w="2043" w:type="dxa"/>
            <w:gridSpan w:val="2"/>
            <w:tcBorders>
              <w:top w:val="single" w:sz="4" w:space="0" w:color="000000"/>
              <w:left w:val="nil"/>
              <w:bottom w:val="single" w:sz="4" w:space="0" w:color="000000"/>
              <w:right w:val="single" w:sz="4" w:space="0" w:color="000000"/>
            </w:tcBorders>
            <w:shd w:val="clear" w:color="auto" w:fill="auto"/>
            <w:vAlign w:val="center"/>
          </w:tcPr>
          <w:p w14:paraId="2C0B5B23"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其他资金</w:t>
            </w:r>
          </w:p>
        </w:tc>
        <w:tc>
          <w:tcPr>
            <w:tcW w:w="1129" w:type="dxa"/>
            <w:tcBorders>
              <w:top w:val="single" w:sz="4" w:space="0" w:color="000000"/>
              <w:left w:val="nil"/>
              <w:bottom w:val="single" w:sz="4" w:space="0" w:color="000000"/>
              <w:right w:val="single" w:sz="4" w:space="0" w:color="000000"/>
            </w:tcBorders>
            <w:shd w:val="clear" w:color="auto" w:fill="auto"/>
            <w:vAlign w:val="center"/>
          </w:tcPr>
          <w:p w14:paraId="4AB40F94" w14:textId="77777777" w:rsidR="00F0566E" w:rsidRDefault="00F0566E">
            <w:pPr>
              <w:widowControl/>
              <w:rPr>
                <w:rFonts w:eastAsia="宋体" w:cs="Times New Roman"/>
                <w:color w:val="000000"/>
                <w:sz w:val="18"/>
                <w:szCs w:val="18"/>
              </w:rPr>
            </w:pPr>
          </w:p>
        </w:tc>
        <w:tc>
          <w:tcPr>
            <w:tcW w:w="1107" w:type="dxa"/>
            <w:tcBorders>
              <w:top w:val="single" w:sz="4" w:space="0" w:color="000000"/>
              <w:left w:val="nil"/>
              <w:bottom w:val="single" w:sz="4" w:space="0" w:color="000000"/>
              <w:right w:val="single" w:sz="4" w:space="0" w:color="000000"/>
            </w:tcBorders>
            <w:shd w:val="clear" w:color="auto" w:fill="auto"/>
            <w:vAlign w:val="center"/>
          </w:tcPr>
          <w:p w14:paraId="78C66DA4" w14:textId="77777777" w:rsidR="00F0566E" w:rsidRDefault="00F0566E">
            <w:pPr>
              <w:widowControl/>
              <w:rPr>
                <w:rFonts w:eastAsia="宋体" w:cs="Times New Roman"/>
                <w:color w:val="000000"/>
                <w:sz w:val="18"/>
                <w:szCs w:val="18"/>
              </w:rPr>
            </w:pPr>
          </w:p>
        </w:tc>
        <w:tc>
          <w:tcPr>
            <w:tcW w:w="990" w:type="dxa"/>
            <w:gridSpan w:val="2"/>
            <w:tcBorders>
              <w:top w:val="single" w:sz="4" w:space="0" w:color="000000"/>
              <w:left w:val="nil"/>
              <w:bottom w:val="single" w:sz="4" w:space="0" w:color="000000"/>
              <w:right w:val="single" w:sz="4" w:space="0" w:color="000000"/>
            </w:tcBorders>
            <w:shd w:val="clear" w:color="auto" w:fill="auto"/>
            <w:vAlign w:val="center"/>
          </w:tcPr>
          <w:p w14:paraId="6F69145A" w14:textId="77777777" w:rsidR="00F0566E" w:rsidRDefault="00F0566E">
            <w:pPr>
              <w:widowControl/>
              <w:rPr>
                <w:rFonts w:eastAsia="宋体" w:cs="Times New Roman"/>
                <w:color w:val="000000"/>
                <w:sz w:val="18"/>
                <w:szCs w:val="18"/>
              </w:rPr>
            </w:pPr>
          </w:p>
        </w:tc>
        <w:tc>
          <w:tcPr>
            <w:tcW w:w="2757" w:type="dxa"/>
            <w:tcBorders>
              <w:top w:val="single" w:sz="4" w:space="0" w:color="000000"/>
              <w:left w:val="nil"/>
              <w:bottom w:val="single" w:sz="4" w:space="0" w:color="000000"/>
              <w:right w:val="single" w:sz="4" w:space="0" w:color="000000"/>
            </w:tcBorders>
            <w:shd w:val="clear" w:color="auto" w:fill="auto"/>
            <w:vAlign w:val="center"/>
          </w:tcPr>
          <w:p w14:paraId="2D3EB091" w14:textId="77777777" w:rsidR="00F0566E" w:rsidRDefault="00F0566E">
            <w:pPr>
              <w:widowControl/>
              <w:jc w:val="center"/>
              <w:rPr>
                <w:rFonts w:eastAsia="宋体" w:cs="Times New Roman"/>
                <w:color w:val="000000"/>
                <w:sz w:val="18"/>
                <w:szCs w:val="18"/>
              </w:rPr>
            </w:pPr>
          </w:p>
        </w:tc>
      </w:tr>
      <w:tr w:rsidR="00F0566E" w14:paraId="37FD4FB3" w14:textId="77777777">
        <w:trPr>
          <w:trHeight w:val="352"/>
        </w:trPr>
        <w:tc>
          <w:tcPr>
            <w:tcW w:w="686"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322A832B"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年度总体目标</w:t>
            </w:r>
          </w:p>
        </w:tc>
        <w:tc>
          <w:tcPr>
            <w:tcW w:w="3172" w:type="dxa"/>
            <w:gridSpan w:val="3"/>
            <w:tcBorders>
              <w:top w:val="single" w:sz="4" w:space="0" w:color="000000"/>
              <w:left w:val="nil"/>
              <w:bottom w:val="single" w:sz="4" w:space="0" w:color="000000"/>
              <w:right w:val="single" w:sz="4" w:space="0" w:color="000000"/>
            </w:tcBorders>
            <w:shd w:val="clear" w:color="auto" w:fill="auto"/>
            <w:vAlign w:val="center"/>
          </w:tcPr>
          <w:p w14:paraId="23F6CDC8"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预期目标</w:t>
            </w:r>
          </w:p>
        </w:tc>
        <w:tc>
          <w:tcPr>
            <w:tcW w:w="4854" w:type="dxa"/>
            <w:gridSpan w:val="4"/>
            <w:tcBorders>
              <w:top w:val="single" w:sz="4" w:space="0" w:color="000000"/>
              <w:left w:val="nil"/>
              <w:bottom w:val="single" w:sz="4" w:space="0" w:color="000000"/>
              <w:right w:val="single" w:sz="4" w:space="0" w:color="000000"/>
            </w:tcBorders>
            <w:shd w:val="clear" w:color="auto" w:fill="auto"/>
            <w:vAlign w:val="center"/>
          </w:tcPr>
          <w:p w14:paraId="4E413E3B"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实际完成情况</w:t>
            </w:r>
          </w:p>
        </w:tc>
      </w:tr>
      <w:tr w:rsidR="00F0566E" w14:paraId="43DDDB24" w14:textId="77777777">
        <w:trPr>
          <w:trHeight w:val="1045"/>
        </w:trPr>
        <w:tc>
          <w:tcPr>
            <w:tcW w:w="686" w:type="dxa"/>
            <w:gridSpan w:val="2"/>
            <w:vMerge/>
            <w:tcBorders>
              <w:top w:val="nil"/>
              <w:left w:val="single" w:sz="4" w:space="0" w:color="000000"/>
              <w:bottom w:val="single" w:sz="4" w:space="0" w:color="000000"/>
              <w:right w:val="single" w:sz="4" w:space="0" w:color="000000"/>
            </w:tcBorders>
            <w:shd w:val="clear" w:color="auto" w:fill="auto"/>
            <w:vAlign w:val="center"/>
          </w:tcPr>
          <w:p w14:paraId="0BE75FF2" w14:textId="77777777" w:rsidR="00F0566E" w:rsidRDefault="00F0566E">
            <w:pPr>
              <w:rPr>
                <w:rFonts w:cs="Times New Roman"/>
                <w:sz w:val="20"/>
                <w:szCs w:val="20"/>
              </w:rPr>
            </w:pPr>
          </w:p>
        </w:tc>
        <w:tc>
          <w:tcPr>
            <w:tcW w:w="3172" w:type="dxa"/>
            <w:gridSpan w:val="3"/>
            <w:tcBorders>
              <w:top w:val="single" w:sz="4" w:space="0" w:color="000000"/>
              <w:left w:val="nil"/>
              <w:bottom w:val="single" w:sz="4" w:space="0" w:color="000000"/>
              <w:right w:val="single" w:sz="4" w:space="0" w:color="000000"/>
            </w:tcBorders>
            <w:shd w:val="clear" w:color="auto" w:fill="auto"/>
            <w:vAlign w:val="center"/>
          </w:tcPr>
          <w:p w14:paraId="46587931" w14:textId="77777777" w:rsidR="00F0566E" w:rsidRDefault="00000000">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进一步降低企业开办成本，减少开办环节，巩固企业开办改革成果，优化营商环境</w:t>
            </w:r>
          </w:p>
        </w:tc>
        <w:tc>
          <w:tcPr>
            <w:tcW w:w="4854" w:type="dxa"/>
            <w:gridSpan w:val="4"/>
            <w:tcBorders>
              <w:top w:val="single" w:sz="4" w:space="0" w:color="000000"/>
              <w:left w:val="nil"/>
              <w:bottom w:val="single" w:sz="4" w:space="0" w:color="000000"/>
              <w:right w:val="single" w:sz="4" w:space="0" w:color="000000"/>
            </w:tcBorders>
            <w:shd w:val="clear" w:color="auto" w:fill="auto"/>
            <w:vAlign w:val="center"/>
          </w:tcPr>
          <w:p w14:paraId="4B2E2212" w14:textId="77777777" w:rsidR="00F0566E" w:rsidRDefault="00000000">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进一步降低企业开办成本，减少开办环节，巩固企业开办改革成果，优化营商环境</w:t>
            </w:r>
          </w:p>
        </w:tc>
      </w:tr>
      <w:tr w:rsidR="00F0566E" w14:paraId="5FA14CD7" w14:textId="77777777">
        <w:trPr>
          <w:trHeight w:val="698"/>
        </w:trPr>
        <w:tc>
          <w:tcPr>
            <w:tcW w:w="327" w:type="dxa"/>
            <w:vMerge w:val="restart"/>
            <w:tcBorders>
              <w:top w:val="nil"/>
              <w:left w:val="single" w:sz="4" w:space="0" w:color="000000"/>
              <w:bottom w:val="single" w:sz="4" w:space="0" w:color="000000"/>
              <w:right w:val="single" w:sz="4" w:space="0" w:color="000000"/>
            </w:tcBorders>
            <w:shd w:val="clear" w:color="auto" w:fill="auto"/>
            <w:vAlign w:val="center"/>
          </w:tcPr>
          <w:p w14:paraId="312CBC4F" w14:textId="77777777" w:rsidR="00F0566E" w:rsidRDefault="00000000">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lastRenderedPageBreak/>
              <w:t>绩效指标100分</w:t>
            </w:r>
          </w:p>
        </w:tc>
        <w:tc>
          <w:tcPr>
            <w:tcW w:w="359" w:type="dxa"/>
            <w:tcBorders>
              <w:top w:val="single" w:sz="4" w:space="0" w:color="000000"/>
              <w:left w:val="nil"/>
              <w:bottom w:val="single" w:sz="4" w:space="0" w:color="000000"/>
              <w:right w:val="single" w:sz="4" w:space="0" w:color="000000"/>
            </w:tcBorders>
            <w:shd w:val="clear" w:color="auto" w:fill="auto"/>
            <w:vAlign w:val="center"/>
          </w:tcPr>
          <w:p w14:paraId="1C410070" w14:textId="77777777" w:rsidR="00F0566E" w:rsidRDefault="00000000">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一级指标</w:t>
            </w:r>
          </w:p>
        </w:tc>
        <w:tc>
          <w:tcPr>
            <w:tcW w:w="541" w:type="dxa"/>
            <w:tcBorders>
              <w:top w:val="single" w:sz="4" w:space="0" w:color="000000"/>
              <w:left w:val="nil"/>
              <w:bottom w:val="single" w:sz="4" w:space="0" w:color="000000"/>
              <w:right w:val="single" w:sz="4" w:space="0" w:color="000000"/>
            </w:tcBorders>
            <w:shd w:val="clear" w:color="auto" w:fill="auto"/>
            <w:vAlign w:val="center"/>
          </w:tcPr>
          <w:p w14:paraId="04BA8515" w14:textId="77777777" w:rsidR="00F0566E" w:rsidRDefault="00000000">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二级指标</w:t>
            </w:r>
          </w:p>
        </w:tc>
        <w:tc>
          <w:tcPr>
            <w:tcW w:w="1502" w:type="dxa"/>
            <w:tcBorders>
              <w:top w:val="single" w:sz="4" w:space="0" w:color="000000"/>
              <w:left w:val="nil"/>
              <w:bottom w:val="single" w:sz="4" w:space="0" w:color="000000"/>
              <w:right w:val="single" w:sz="4" w:space="0" w:color="000000"/>
            </w:tcBorders>
            <w:shd w:val="clear" w:color="auto" w:fill="auto"/>
            <w:vAlign w:val="center"/>
          </w:tcPr>
          <w:p w14:paraId="0290398B"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三级指标</w:t>
            </w:r>
          </w:p>
        </w:tc>
        <w:tc>
          <w:tcPr>
            <w:tcW w:w="1129" w:type="dxa"/>
            <w:tcBorders>
              <w:top w:val="single" w:sz="4" w:space="0" w:color="000000"/>
              <w:left w:val="nil"/>
              <w:bottom w:val="single" w:sz="4" w:space="0" w:color="000000"/>
              <w:right w:val="single" w:sz="4" w:space="0" w:color="000000"/>
            </w:tcBorders>
            <w:shd w:val="clear" w:color="auto" w:fill="auto"/>
            <w:vAlign w:val="center"/>
          </w:tcPr>
          <w:p w14:paraId="71FC44D6"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年度指标值</w:t>
            </w:r>
          </w:p>
        </w:tc>
        <w:tc>
          <w:tcPr>
            <w:tcW w:w="1107" w:type="dxa"/>
            <w:tcBorders>
              <w:top w:val="single" w:sz="4" w:space="0" w:color="000000"/>
              <w:left w:val="nil"/>
              <w:bottom w:val="single" w:sz="4" w:space="0" w:color="000000"/>
              <w:right w:val="single" w:sz="4" w:space="0" w:color="000000"/>
            </w:tcBorders>
            <w:shd w:val="clear" w:color="auto" w:fill="auto"/>
            <w:vAlign w:val="center"/>
          </w:tcPr>
          <w:p w14:paraId="75E9C08D"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实际完成值</w:t>
            </w:r>
          </w:p>
        </w:tc>
        <w:tc>
          <w:tcPr>
            <w:tcW w:w="494" w:type="dxa"/>
            <w:tcBorders>
              <w:top w:val="single" w:sz="4" w:space="0" w:color="000000"/>
              <w:left w:val="nil"/>
              <w:bottom w:val="single" w:sz="4" w:space="0" w:color="000000"/>
              <w:right w:val="single" w:sz="4" w:space="0" w:color="000000"/>
            </w:tcBorders>
            <w:shd w:val="clear" w:color="auto" w:fill="auto"/>
            <w:vAlign w:val="center"/>
          </w:tcPr>
          <w:p w14:paraId="238CC6E7"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权重</w:t>
            </w:r>
          </w:p>
        </w:tc>
        <w:tc>
          <w:tcPr>
            <w:tcW w:w="496" w:type="dxa"/>
            <w:tcBorders>
              <w:top w:val="single" w:sz="4" w:space="0" w:color="000000"/>
              <w:left w:val="nil"/>
              <w:bottom w:val="single" w:sz="4" w:space="0" w:color="000000"/>
              <w:right w:val="single" w:sz="4" w:space="0" w:color="000000"/>
            </w:tcBorders>
            <w:shd w:val="clear" w:color="auto" w:fill="auto"/>
            <w:vAlign w:val="center"/>
          </w:tcPr>
          <w:p w14:paraId="6AB75220"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得分</w:t>
            </w:r>
          </w:p>
        </w:tc>
        <w:tc>
          <w:tcPr>
            <w:tcW w:w="2757" w:type="dxa"/>
            <w:tcBorders>
              <w:top w:val="single" w:sz="4" w:space="0" w:color="000000"/>
              <w:left w:val="nil"/>
              <w:bottom w:val="single" w:sz="4" w:space="0" w:color="000000"/>
              <w:right w:val="single" w:sz="4" w:space="0" w:color="000000"/>
            </w:tcBorders>
            <w:shd w:val="clear" w:color="auto" w:fill="auto"/>
            <w:vAlign w:val="center"/>
          </w:tcPr>
          <w:p w14:paraId="15D67709"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偏差原因分析及改进措施</w:t>
            </w:r>
          </w:p>
        </w:tc>
      </w:tr>
      <w:tr w:rsidR="00F0566E" w14:paraId="38EFA998" w14:textId="77777777">
        <w:trPr>
          <w:trHeight w:val="698"/>
        </w:trPr>
        <w:tc>
          <w:tcPr>
            <w:tcW w:w="327" w:type="dxa"/>
            <w:vMerge/>
            <w:tcBorders>
              <w:top w:val="nil"/>
              <w:left w:val="single" w:sz="4" w:space="0" w:color="000000"/>
              <w:bottom w:val="single" w:sz="4" w:space="0" w:color="000000"/>
              <w:right w:val="single" w:sz="4" w:space="0" w:color="000000"/>
            </w:tcBorders>
            <w:shd w:val="clear" w:color="auto" w:fill="auto"/>
            <w:vAlign w:val="center"/>
          </w:tcPr>
          <w:p w14:paraId="4A0DB344" w14:textId="77777777" w:rsidR="00F0566E" w:rsidRDefault="00F0566E">
            <w:pPr>
              <w:rPr>
                <w:rFonts w:cs="Times New Roman"/>
                <w:sz w:val="20"/>
                <w:szCs w:val="20"/>
              </w:rPr>
            </w:pPr>
          </w:p>
        </w:tc>
        <w:tc>
          <w:tcPr>
            <w:tcW w:w="359" w:type="dxa"/>
            <w:vMerge w:val="restart"/>
            <w:tcBorders>
              <w:top w:val="nil"/>
              <w:left w:val="nil"/>
              <w:bottom w:val="nil"/>
              <w:right w:val="single" w:sz="4" w:space="0" w:color="000000"/>
            </w:tcBorders>
            <w:shd w:val="clear" w:color="auto" w:fill="auto"/>
            <w:vAlign w:val="center"/>
          </w:tcPr>
          <w:p w14:paraId="0AA30568"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产出指标(50分)</w:t>
            </w:r>
          </w:p>
        </w:tc>
        <w:tc>
          <w:tcPr>
            <w:tcW w:w="541" w:type="dxa"/>
            <w:tcBorders>
              <w:top w:val="single" w:sz="4" w:space="0" w:color="000000"/>
              <w:left w:val="nil"/>
              <w:bottom w:val="nil"/>
              <w:right w:val="single" w:sz="4" w:space="0" w:color="000000"/>
            </w:tcBorders>
            <w:shd w:val="clear" w:color="auto" w:fill="auto"/>
            <w:vAlign w:val="center"/>
          </w:tcPr>
          <w:p w14:paraId="2B13281F" w14:textId="77777777" w:rsidR="00F0566E" w:rsidRDefault="00000000">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数量指标</w:t>
            </w:r>
          </w:p>
        </w:tc>
        <w:tc>
          <w:tcPr>
            <w:tcW w:w="1502" w:type="dxa"/>
            <w:tcBorders>
              <w:top w:val="single" w:sz="4" w:space="0" w:color="000000"/>
              <w:left w:val="nil"/>
              <w:bottom w:val="single" w:sz="4" w:space="0" w:color="000000"/>
              <w:right w:val="single" w:sz="4" w:space="0" w:color="000000"/>
            </w:tcBorders>
            <w:shd w:val="clear" w:color="auto" w:fill="auto"/>
            <w:vAlign w:val="center"/>
          </w:tcPr>
          <w:p w14:paraId="18F6EFBA" w14:textId="77777777" w:rsidR="00F0566E" w:rsidRDefault="00000000">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企业开办首套公章刻制</w:t>
            </w:r>
          </w:p>
        </w:tc>
        <w:tc>
          <w:tcPr>
            <w:tcW w:w="1129" w:type="dxa"/>
            <w:tcBorders>
              <w:top w:val="single" w:sz="4" w:space="0" w:color="000000"/>
              <w:left w:val="nil"/>
              <w:bottom w:val="single" w:sz="4" w:space="0" w:color="000000"/>
              <w:right w:val="single" w:sz="4" w:space="0" w:color="000000"/>
            </w:tcBorders>
            <w:shd w:val="clear" w:color="auto" w:fill="auto"/>
            <w:vAlign w:val="center"/>
          </w:tcPr>
          <w:p w14:paraId="54576A77"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按照实际开办企业数量计算</w:t>
            </w:r>
          </w:p>
        </w:tc>
        <w:tc>
          <w:tcPr>
            <w:tcW w:w="1107" w:type="dxa"/>
            <w:tcBorders>
              <w:top w:val="single" w:sz="4" w:space="0" w:color="000000"/>
              <w:left w:val="nil"/>
              <w:bottom w:val="single" w:sz="4" w:space="0" w:color="000000"/>
              <w:right w:val="single" w:sz="4" w:space="0" w:color="000000"/>
            </w:tcBorders>
            <w:shd w:val="clear" w:color="auto" w:fill="auto"/>
            <w:vAlign w:val="center"/>
          </w:tcPr>
          <w:p w14:paraId="389C4467"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2299</w:t>
            </w:r>
          </w:p>
        </w:tc>
        <w:tc>
          <w:tcPr>
            <w:tcW w:w="494" w:type="dxa"/>
            <w:tcBorders>
              <w:top w:val="single" w:sz="4" w:space="0" w:color="000000"/>
              <w:left w:val="nil"/>
              <w:bottom w:val="single" w:sz="4" w:space="0" w:color="000000"/>
              <w:right w:val="single" w:sz="4" w:space="0" w:color="000000"/>
            </w:tcBorders>
            <w:shd w:val="clear" w:color="auto" w:fill="auto"/>
            <w:vAlign w:val="center"/>
          </w:tcPr>
          <w:p w14:paraId="5DF8EFD8"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20</w:t>
            </w:r>
          </w:p>
        </w:tc>
        <w:tc>
          <w:tcPr>
            <w:tcW w:w="496" w:type="dxa"/>
            <w:tcBorders>
              <w:top w:val="single" w:sz="4" w:space="0" w:color="000000"/>
              <w:left w:val="nil"/>
              <w:bottom w:val="single" w:sz="4" w:space="0" w:color="000000"/>
              <w:right w:val="single" w:sz="4" w:space="0" w:color="000000"/>
            </w:tcBorders>
            <w:shd w:val="clear" w:color="auto" w:fill="auto"/>
            <w:vAlign w:val="center"/>
          </w:tcPr>
          <w:p w14:paraId="321615CD"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20</w:t>
            </w:r>
          </w:p>
        </w:tc>
        <w:tc>
          <w:tcPr>
            <w:tcW w:w="2757" w:type="dxa"/>
            <w:tcBorders>
              <w:top w:val="single" w:sz="4" w:space="0" w:color="000000"/>
              <w:left w:val="nil"/>
              <w:bottom w:val="single" w:sz="4" w:space="0" w:color="000000"/>
              <w:right w:val="single" w:sz="4" w:space="0" w:color="000000"/>
            </w:tcBorders>
            <w:shd w:val="clear" w:color="auto" w:fill="auto"/>
            <w:vAlign w:val="center"/>
          </w:tcPr>
          <w:p w14:paraId="144F1545" w14:textId="77777777" w:rsidR="00F0566E" w:rsidRDefault="00F0566E">
            <w:pPr>
              <w:widowControl/>
              <w:jc w:val="center"/>
              <w:rPr>
                <w:rFonts w:eastAsia="宋体" w:cs="Times New Roman"/>
                <w:color w:val="000000"/>
                <w:sz w:val="18"/>
                <w:szCs w:val="18"/>
              </w:rPr>
            </w:pPr>
          </w:p>
        </w:tc>
      </w:tr>
      <w:tr w:rsidR="00F0566E" w14:paraId="6942EDDE" w14:textId="77777777">
        <w:trPr>
          <w:trHeight w:val="698"/>
        </w:trPr>
        <w:tc>
          <w:tcPr>
            <w:tcW w:w="327" w:type="dxa"/>
            <w:vMerge/>
            <w:tcBorders>
              <w:top w:val="nil"/>
              <w:left w:val="single" w:sz="4" w:space="0" w:color="000000"/>
              <w:bottom w:val="single" w:sz="4" w:space="0" w:color="000000"/>
              <w:right w:val="single" w:sz="4" w:space="0" w:color="000000"/>
            </w:tcBorders>
            <w:shd w:val="clear" w:color="auto" w:fill="auto"/>
            <w:vAlign w:val="center"/>
          </w:tcPr>
          <w:p w14:paraId="5D4A0887" w14:textId="77777777" w:rsidR="00F0566E" w:rsidRDefault="00F0566E">
            <w:pPr>
              <w:rPr>
                <w:rFonts w:cs="Times New Roman"/>
                <w:sz w:val="20"/>
                <w:szCs w:val="20"/>
              </w:rPr>
            </w:pPr>
          </w:p>
        </w:tc>
        <w:tc>
          <w:tcPr>
            <w:tcW w:w="359" w:type="dxa"/>
            <w:vMerge/>
            <w:tcBorders>
              <w:top w:val="nil"/>
              <w:left w:val="nil"/>
              <w:bottom w:val="nil"/>
              <w:right w:val="single" w:sz="4" w:space="0" w:color="000000"/>
            </w:tcBorders>
            <w:shd w:val="clear" w:color="auto" w:fill="auto"/>
            <w:vAlign w:val="center"/>
          </w:tcPr>
          <w:p w14:paraId="7C361ADA" w14:textId="77777777" w:rsidR="00F0566E" w:rsidRDefault="00F0566E">
            <w:pPr>
              <w:rPr>
                <w:rFonts w:cs="Times New Roman"/>
                <w:sz w:val="20"/>
                <w:szCs w:val="20"/>
              </w:rPr>
            </w:pPr>
          </w:p>
        </w:tc>
        <w:tc>
          <w:tcPr>
            <w:tcW w:w="541" w:type="dxa"/>
            <w:vMerge w:val="restart"/>
            <w:tcBorders>
              <w:top w:val="single" w:sz="4" w:space="0" w:color="000000"/>
              <w:left w:val="nil"/>
              <w:bottom w:val="nil"/>
              <w:right w:val="single" w:sz="4" w:space="0" w:color="000000"/>
            </w:tcBorders>
            <w:shd w:val="clear" w:color="auto" w:fill="auto"/>
            <w:vAlign w:val="center"/>
          </w:tcPr>
          <w:p w14:paraId="42B1080B" w14:textId="77777777" w:rsidR="00F0566E" w:rsidRDefault="00000000">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质量指标</w:t>
            </w:r>
          </w:p>
        </w:tc>
        <w:tc>
          <w:tcPr>
            <w:tcW w:w="1502" w:type="dxa"/>
            <w:tcBorders>
              <w:top w:val="single" w:sz="4" w:space="0" w:color="000000"/>
              <w:left w:val="nil"/>
              <w:bottom w:val="single" w:sz="4" w:space="0" w:color="000000"/>
              <w:right w:val="single" w:sz="4" w:space="0" w:color="000000"/>
            </w:tcBorders>
            <w:shd w:val="clear" w:color="auto" w:fill="auto"/>
            <w:vAlign w:val="center"/>
          </w:tcPr>
          <w:p w14:paraId="1C8E68BD" w14:textId="77777777" w:rsidR="00F0566E" w:rsidRDefault="00000000">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依申请的所有企业开办首套公章</w:t>
            </w:r>
          </w:p>
        </w:tc>
        <w:tc>
          <w:tcPr>
            <w:tcW w:w="1129" w:type="dxa"/>
            <w:tcBorders>
              <w:top w:val="single" w:sz="4" w:space="0" w:color="000000"/>
              <w:left w:val="nil"/>
              <w:bottom w:val="single" w:sz="4" w:space="0" w:color="000000"/>
              <w:right w:val="single" w:sz="4" w:space="0" w:color="000000"/>
            </w:tcBorders>
            <w:shd w:val="clear" w:color="auto" w:fill="auto"/>
            <w:vAlign w:val="center"/>
          </w:tcPr>
          <w:p w14:paraId="1E54CCDD"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100%</w:t>
            </w:r>
            <w:r>
              <w:rPr>
                <w:rStyle w:val="15"/>
                <w:lang w:bidi="ar"/>
              </w:rPr>
              <w:t>全覆盖</w:t>
            </w:r>
          </w:p>
        </w:tc>
        <w:tc>
          <w:tcPr>
            <w:tcW w:w="1107" w:type="dxa"/>
            <w:tcBorders>
              <w:top w:val="single" w:sz="4" w:space="0" w:color="000000"/>
              <w:left w:val="nil"/>
              <w:bottom w:val="single" w:sz="4" w:space="0" w:color="000000"/>
              <w:right w:val="single" w:sz="4" w:space="0" w:color="000000"/>
            </w:tcBorders>
            <w:shd w:val="clear" w:color="auto" w:fill="auto"/>
            <w:vAlign w:val="center"/>
          </w:tcPr>
          <w:p w14:paraId="36440896"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100%</w:t>
            </w:r>
            <w:r>
              <w:rPr>
                <w:rStyle w:val="15"/>
                <w:lang w:bidi="ar"/>
              </w:rPr>
              <w:t>全覆盖</w:t>
            </w:r>
          </w:p>
        </w:tc>
        <w:tc>
          <w:tcPr>
            <w:tcW w:w="494" w:type="dxa"/>
            <w:tcBorders>
              <w:top w:val="single" w:sz="4" w:space="0" w:color="000000"/>
              <w:left w:val="nil"/>
              <w:bottom w:val="single" w:sz="4" w:space="0" w:color="000000"/>
              <w:right w:val="single" w:sz="4" w:space="0" w:color="000000"/>
            </w:tcBorders>
            <w:shd w:val="clear" w:color="auto" w:fill="auto"/>
            <w:vAlign w:val="center"/>
          </w:tcPr>
          <w:p w14:paraId="6B0A3536"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20</w:t>
            </w:r>
          </w:p>
        </w:tc>
        <w:tc>
          <w:tcPr>
            <w:tcW w:w="496" w:type="dxa"/>
            <w:tcBorders>
              <w:top w:val="single" w:sz="4" w:space="0" w:color="000000"/>
              <w:left w:val="nil"/>
              <w:bottom w:val="single" w:sz="4" w:space="0" w:color="000000"/>
              <w:right w:val="single" w:sz="4" w:space="0" w:color="000000"/>
            </w:tcBorders>
            <w:shd w:val="clear" w:color="auto" w:fill="auto"/>
            <w:vAlign w:val="center"/>
          </w:tcPr>
          <w:p w14:paraId="01A846D7"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20</w:t>
            </w:r>
          </w:p>
        </w:tc>
        <w:tc>
          <w:tcPr>
            <w:tcW w:w="2757" w:type="dxa"/>
            <w:tcBorders>
              <w:top w:val="single" w:sz="4" w:space="0" w:color="000000"/>
              <w:left w:val="nil"/>
              <w:bottom w:val="single" w:sz="4" w:space="0" w:color="000000"/>
              <w:right w:val="single" w:sz="4" w:space="0" w:color="000000"/>
            </w:tcBorders>
            <w:shd w:val="clear" w:color="auto" w:fill="auto"/>
            <w:vAlign w:val="center"/>
          </w:tcPr>
          <w:p w14:paraId="2FB26113" w14:textId="77777777" w:rsidR="00F0566E" w:rsidRDefault="00F0566E">
            <w:pPr>
              <w:widowControl/>
              <w:jc w:val="center"/>
              <w:rPr>
                <w:rFonts w:eastAsia="宋体" w:cs="Times New Roman"/>
                <w:color w:val="000000"/>
                <w:sz w:val="18"/>
                <w:szCs w:val="18"/>
              </w:rPr>
            </w:pPr>
          </w:p>
        </w:tc>
      </w:tr>
      <w:tr w:rsidR="00F0566E" w14:paraId="4D5C33AB" w14:textId="77777777">
        <w:trPr>
          <w:trHeight w:val="698"/>
        </w:trPr>
        <w:tc>
          <w:tcPr>
            <w:tcW w:w="327" w:type="dxa"/>
            <w:vMerge/>
            <w:tcBorders>
              <w:top w:val="nil"/>
              <w:left w:val="single" w:sz="4" w:space="0" w:color="000000"/>
              <w:bottom w:val="single" w:sz="4" w:space="0" w:color="000000"/>
              <w:right w:val="single" w:sz="4" w:space="0" w:color="000000"/>
            </w:tcBorders>
            <w:shd w:val="clear" w:color="auto" w:fill="auto"/>
            <w:vAlign w:val="center"/>
          </w:tcPr>
          <w:p w14:paraId="47AC4C6E" w14:textId="77777777" w:rsidR="00F0566E" w:rsidRDefault="00F0566E">
            <w:pPr>
              <w:rPr>
                <w:rFonts w:cs="Times New Roman"/>
                <w:sz w:val="20"/>
                <w:szCs w:val="20"/>
              </w:rPr>
            </w:pPr>
          </w:p>
        </w:tc>
        <w:tc>
          <w:tcPr>
            <w:tcW w:w="359" w:type="dxa"/>
            <w:vMerge/>
            <w:tcBorders>
              <w:top w:val="nil"/>
              <w:left w:val="nil"/>
              <w:bottom w:val="nil"/>
              <w:right w:val="single" w:sz="4" w:space="0" w:color="000000"/>
            </w:tcBorders>
            <w:shd w:val="clear" w:color="auto" w:fill="auto"/>
            <w:vAlign w:val="center"/>
          </w:tcPr>
          <w:p w14:paraId="37FCF3F9" w14:textId="77777777" w:rsidR="00F0566E" w:rsidRDefault="00F0566E">
            <w:pPr>
              <w:rPr>
                <w:rFonts w:cs="Times New Roman"/>
                <w:sz w:val="20"/>
                <w:szCs w:val="20"/>
              </w:rPr>
            </w:pPr>
          </w:p>
        </w:tc>
        <w:tc>
          <w:tcPr>
            <w:tcW w:w="541" w:type="dxa"/>
            <w:vMerge/>
            <w:tcBorders>
              <w:top w:val="single" w:sz="4" w:space="0" w:color="000000"/>
              <w:left w:val="nil"/>
              <w:bottom w:val="nil"/>
              <w:right w:val="single" w:sz="4" w:space="0" w:color="000000"/>
            </w:tcBorders>
            <w:shd w:val="clear" w:color="auto" w:fill="auto"/>
            <w:vAlign w:val="center"/>
          </w:tcPr>
          <w:p w14:paraId="7E287364" w14:textId="77777777" w:rsidR="00F0566E" w:rsidRDefault="00F0566E">
            <w:pPr>
              <w:rPr>
                <w:rFonts w:cs="Times New Roman"/>
                <w:sz w:val="20"/>
                <w:szCs w:val="20"/>
              </w:rPr>
            </w:pPr>
          </w:p>
        </w:tc>
        <w:tc>
          <w:tcPr>
            <w:tcW w:w="1502" w:type="dxa"/>
            <w:tcBorders>
              <w:top w:val="single" w:sz="4" w:space="0" w:color="000000"/>
              <w:left w:val="nil"/>
              <w:bottom w:val="single" w:sz="4" w:space="0" w:color="000000"/>
              <w:right w:val="single" w:sz="4" w:space="0" w:color="000000"/>
            </w:tcBorders>
            <w:shd w:val="clear" w:color="auto" w:fill="auto"/>
            <w:vAlign w:val="center"/>
          </w:tcPr>
          <w:p w14:paraId="70DFBEA8" w14:textId="77777777" w:rsidR="00F0566E" w:rsidRDefault="00000000">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129" w:type="dxa"/>
            <w:tcBorders>
              <w:top w:val="single" w:sz="4" w:space="0" w:color="000000"/>
              <w:left w:val="nil"/>
              <w:bottom w:val="single" w:sz="4" w:space="0" w:color="000000"/>
              <w:right w:val="single" w:sz="4" w:space="0" w:color="000000"/>
            </w:tcBorders>
            <w:shd w:val="clear" w:color="auto" w:fill="auto"/>
            <w:vAlign w:val="center"/>
          </w:tcPr>
          <w:p w14:paraId="52A232A2" w14:textId="77777777" w:rsidR="00F0566E" w:rsidRDefault="00F0566E">
            <w:pPr>
              <w:widowControl/>
              <w:jc w:val="center"/>
              <w:rPr>
                <w:rFonts w:eastAsia="宋体" w:cs="Times New Roman"/>
                <w:color w:val="000000"/>
                <w:sz w:val="18"/>
                <w:szCs w:val="18"/>
              </w:rPr>
            </w:pPr>
          </w:p>
        </w:tc>
        <w:tc>
          <w:tcPr>
            <w:tcW w:w="1107" w:type="dxa"/>
            <w:tcBorders>
              <w:top w:val="single" w:sz="4" w:space="0" w:color="000000"/>
              <w:left w:val="nil"/>
              <w:bottom w:val="single" w:sz="4" w:space="0" w:color="000000"/>
              <w:right w:val="single" w:sz="4" w:space="0" w:color="000000"/>
            </w:tcBorders>
            <w:shd w:val="clear" w:color="auto" w:fill="auto"/>
            <w:vAlign w:val="center"/>
          </w:tcPr>
          <w:p w14:paraId="337D5794" w14:textId="77777777" w:rsidR="00F0566E" w:rsidRDefault="00F0566E">
            <w:pPr>
              <w:widowControl/>
              <w:rPr>
                <w:rFonts w:eastAsia="宋体" w:cs="Times New Roman"/>
                <w:color w:val="000000"/>
                <w:sz w:val="18"/>
                <w:szCs w:val="18"/>
              </w:rPr>
            </w:pPr>
          </w:p>
        </w:tc>
        <w:tc>
          <w:tcPr>
            <w:tcW w:w="494" w:type="dxa"/>
            <w:tcBorders>
              <w:top w:val="single" w:sz="4" w:space="0" w:color="000000"/>
              <w:left w:val="nil"/>
              <w:bottom w:val="single" w:sz="4" w:space="0" w:color="000000"/>
              <w:right w:val="single" w:sz="4" w:space="0" w:color="000000"/>
            </w:tcBorders>
            <w:shd w:val="clear" w:color="auto" w:fill="auto"/>
            <w:vAlign w:val="center"/>
          </w:tcPr>
          <w:p w14:paraId="6A95A3BA" w14:textId="77777777" w:rsidR="00F0566E" w:rsidRDefault="00F0566E">
            <w:pPr>
              <w:widowControl/>
              <w:jc w:val="center"/>
              <w:rPr>
                <w:rFonts w:eastAsia="宋体" w:cs="Times New Roman"/>
                <w:color w:val="000000"/>
                <w:sz w:val="18"/>
                <w:szCs w:val="18"/>
              </w:rPr>
            </w:pPr>
          </w:p>
        </w:tc>
        <w:tc>
          <w:tcPr>
            <w:tcW w:w="496" w:type="dxa"/>
            <w:tcBorders>
              <w:top w:val="single" w:sz="4" w:space="0" w:color="000000"/>
              <w:left w:val="nil"/>
              <w:bottom w:val="single" w:sz="4" w:space="0" w:color="000000"/>
              <w:right w:val="single" w:sz="4" w:space="0" w:color="000000"/>
            </w:tcBorders>
            <w:shd w:val="clear" w:color="auto" w:fill="auto"/>
            <w:vAlign w:val="center"/>
          </w:tcPr>
          <w:p w14:paraId="09B7040B" w14:textId="77777777" w:rsidR="00F0566E" w:rsidRDefault="00F0566E">
            <w:pPr>
              <w:widowControl/>
              <w:jc w:val="center"/>
              <w:rPr>
                <w:rFonts w:eastAsia="宋体" w:cs="Times New Roman"/>
                <w:color w:val="000000"/>
                <w:sz w:val="18"/>
                <w:szCs w:val="18"/>
              </w:rPr>
            </w:pPr>
          </w:p>
        </w:tc>
        <w:tc>
          <w:tcPr>
            <w:tcW w:w="2757" w:type="dxa"/>
            <w:tcBorders>
              <w:top w:val="single" w:sz="4" w:space="0" w:color="000000"/>
              <w:left w:val="nil"/>
              <w:bottom w:val="single" w:sz="4" w:space="0" w:color="000000"/>
              <w:right w:val="single" w:sz="4" w:space="0" w:color="000000"/>
            </w:tcBorders>
            <w:shd w:val="clear" w:color="auto" w:fill="auto"/>
            <w:vAlign w:val="center"/>
          </w:tcPr>
          <w:p w14:paraId="4D22DBEF" w14:textId="77777777" w:rsidR="00F0566E" w:rsidRDefault="00F0566E">
            <w:pPr>
              <w:widowControl/>
              <w:jc w:val="center"/>
              <w:rPr>
                <w:rFonts w:eastAsia="宋体" w:cs="Times New Roman"/>
                <w:color w:val="000000"/>
                <w:sz w:val="18"/>
                <w:szCs w:val="18"/>
              </w:rPr>
            </w:pPr>
          </w:p>
        </w:tc>
      </w:tr>
      <w:tr w:rsidR="00F0566E" w14:paraId="2863CF5A" w14:textId="77777777">
        <w:trPr>
          <w:trHeight w:val="698"/>
        </w:trPr>
        <w:tc>
          <w:tcPr>
            <w:tcW w:w="327" w:type="dxa"/>
            <w:vMerge/>
            <w:tcBorders>
              <w:top w:val="nil"/>
              <w:left w:val="single" w:sz="4" w:space="0" w:color="000000"/>
              <w:bottom w:val="single" w:sz="4" w:space="0" w:color="000000"/>
              <w:right w:val="single" w:sz="4" w:space="0" w:color="000000"/>
            </w:tcBorders>
            <w:shd w:val="clear" w:color="auto" w:fill="auto"/>
            <w:vAlign w:val="center"/>
          </w:tcPr>
          <w:p w14:paraId="65370AC6" w14:textId="77777777" w:rsidR="00F0566E" w:rsidRDefault="00F0566E">
            <w:pPr>
              <w:rPr>
                <w:rFonts w:cs="Times New Roman"/>
                <w:sz w:val="20"/>
                <w:szCs w:val="20"/>
              </w:rPr>
            </w:pPr>
          </w:p>
        </w:tc>
        <w:tc>
          <w:tcPr>
            <w:tcW w:w="359" w:type="dxa"/>
            <w:vMerge/>
            <w:tcBorders>
              <w:top w:val="nil"/>
              <w:left w:val="nil"/>
              <w:bottom w:val="nil"/>
              <w:right w:val="single" w:sz="4" w:space="0" w:color="000000"/>
            </w:tcBorders>
            <w:shd w:val="clear" w:color="auto" w:fill="auto"/>
            <w:vAlign w:val="center"/>
          </w:tcPr>
          <w:p w14:paraId="0BA53E1A" w14:textId="77777777" w:rsidR="00F0566E" w:rsidRDefault="00F0566E">
            <w:pPr>
              <w:rPr>
                <w:rFonts w:cs="Times New Roman"/>
                <w:sz w:val="20"/>
                <w:szCs w:val="20"/>
              </w:rPr>
            </w:pPr>
          </w:p>
        </w:tc>
        <w:tc>
          <w:tcPr>
            <w:tcW w:w="541" w:type="dxa"/>
            <w:tcBorders>
              <w:top w:val="single" w:sz="4" w:space="0" w:color="000000"/>
              <w:left w:val="nil"/>
              <w:bottom w:val="nil"/>
              <w:right w:val="single" w:sz="4" w:space="0" w:color="000000"/>
            </w:tcBorders>
            <w:shd w:val="clear" w:color="auto" w:fill="auto"/>
            <w:vAlign w:val="center"/>
          </w:tcPr>
          <w:p w14:paraId="5D4C1BB3" w14:textId="77777777" w:rsidR="00F0566E" w:rsidRDefault="00000000">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时效指标</w:t>
            </w:r>
          </w:p>
        </w:tc>
        <w:tc>
          <w:tcPr>
            <w:tcW w:w="1502" w:type="dxa"/>
            <w:tcBorders>
              <w:top w:val="single" w:sz="4" w:space="0" w:color="000000"/>
              <w:left w:val="nil"/>
              <w:bottom w:val="single" w:sz="4" w:space="0" w:color="000000"/>
              <w:right w:val="single" w:sz="4" w:space="0" w:color="000000"/>
            </w:tcBorders>
            <w:shd w:val="clear" w:color="auto" w:fill="auto"/>
            <w:vAlign w:val="center"/>
          </w:tcPr>
          <w:p w14:paraId="4BCF7AF8" w14:textId="77777777" w:rsidR="00F0566E" w:rsidRDefault="00000000">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一日办结</w:t>
            </w:r>
          </w:p>
        </w:tc>
        <w:tc>
          <w:tcPr>
            <w:tcW w:w="1129" w:type="dxa"/>
            <w:tcBorders>
              <w:top w:val="single" w:sz="4" w:space="0" w:color="000000"/>
              <w:left w:val="nil"/>
              <w:bottom w:val="single" w:sz="4" w:space="0" w:color="000000"/>
              <w:right w:val="single" w:sz="4" w:space="0" w:color="000000"/>
            </w:tcBorders>
            <w:shd w:val="clear" w:color="auto" w:fill="auto"/>
            <w:vAlign w:val="center"/>
          </w:tcPr>
          <w:p w14:paraId="71AD46DF"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一日办结</w:t>
            </w:r>
          </w:p>
        </w:tc>
        <w:tc>
          <w:tcPr>
            <w:tcW w:w="1107" w:type="dxa"/>
            <w:tcBorders>
              <w:top w:val="single" w:sz="4" w:space="0" w:color="000000"/>
              <w:left w:val="nil"/>
              <w:bottom w:val="single" w:sz="4" w:space="0" w:color="000000"/>
              <w:right w:val="single" w:sz="4" w:space="0" w:color="000000"/>
            </w:tcBorders>
            <w:shd w:val="clear" w:color="auto" w:fill="auto"/>
            <w:vAlign w:val="center"/>
          </w:tcPr>
          <w:p w14:paraId="1F84BD7E"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一日办结</w:t>
            </w:r>
          </w:p>
        </w:tc>
        <w:tc>
          <w:tcPr>
            <w:tcW w:w="494" w:type="dxa"/>
            <w:tcBorders>
              <w:top w:val="single" w:sz="4" w:space="0" w:color="000000"/>
              <w:left w:val="nil"/>
              <w:bottom w:val="single" w:sz="4" w:space="0" w:color="000000"/>
              <w:right w:val="single" w:sz="4" w:space="0" w:color="000000"/>
            </w:tcBorders>
            <w:shd w:val="clear" w:color="auto" w:fill="auto"/>
            <w:vAlign w:val="center"/>
          </w:tcPr>
          <w:p w14:paraId="42665494"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5</w:t>
            </w:r>
          </w:p>
        </w:tc>
        <w:tc>
          <w:tcPr>
            <w:tcW w:w="496" w:type="dxa"/>
            <w:tcBorders>
              <w:top w:val="single" w:sz="4" w:space="0" w:color="000000"/>
              <w:left w:val="nil"/>
              <w:bottom w:val="single" w:sz="4" w:space="0" w:color="000000"/>
              <w:right w:val="single" w:sz="4" w:space="0" w:color="000000"/>
            </w:tcBorders>
            <w:shd w:val="clear" w:color="auto" w:fill="auto"/>
            <w:vAlign w:val="center"/>
          </w:tcPr>
          <w:p w14:paraId="6AC78861"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5</w:t>
            </w:r>
          </w:p>
        </w:tc>
        <w:tc>
          <w:tcPr>
            <w:tcW w:w="2757" w:type="dxa"/>
            <w:tcBorders>
              <w:top w:val="single" w:sz="4" w:space="0" w:color="000000"/>
              <w:left w:val="nil"/>
              <w:bottom w:val="single" w:sz="4" w:space="0" w:color="000000"/>
              <w:right w:val="single" w:sz="4" w:space="0" w:color="000000"/>
            </w:tcBorders>
            <w:shd w:val="clear" w:color="auto" w:fill="auto"/>
            <w:vAlign w:val="center"/>
          </w:tcPr>
          <w:p w14:paraId="03C7F08C" w14:textId="77777777" w:rsidR="00F0566E" w:rsidRDefault="00F0566E">
            <w:pPr>
              <w:widowControl/>
              <w:jc w:val="center"/>
              <w:rPr>
                <w:rFonts w:eastAsia="宋体" w:cs="Times New Roman"/>
                <w:color w:val="000000"/>
                <w:sz w:val="18"/>
                <w:szCs w:val="18"/>
              </w:rPr>
            </w:pPr>
          </w:p>
        </w:tc>
      </w:tr>
      <w:tr w:rsidR="00F0566E" w14:paraId="19E3E516" w14:textId="77777777">
        <w:trPr>
          <w:trHeight w:val="698"/>
        </w:trPr>
        <w:tc>
          <w:tcPr>
            <w:tcW w:w="327" w:type="dxa"/>
            <w:vMerge/>
            <w:tcBorders>
              <w:top w:val="nil"/>
              <w:left w:val="single" w:sz="4" w:space="0" w:color="000000"/>
              <w:bottom w:val="single" w:sz="4" w:space="0" w:color="000000"/>
              <w:right w:val="single" w:sz="4" w:space="0" w:color="000000"/>
            </w:tcBorders>
            <w:shd w:val="clear" w:color="auto" w:fill="auto"/>
            <w:vAlign w:val="center"/>
          </w:tcPr>
          <w:p w14:paraId="181674C8" w14:textId="77777777" w:rsidR="00F0566E" w:rsidRDefault="00F0566E">
            <w:pPr>
              <w:rPr>
                <w:rFonts w:cs="Times New Roman"/>
                <w:sz w:val="20"/>
                <w:szCs w:val="20"/>
              </w:rPr>
            </w:pPr>
          </w:p>
        </w:tc>
        <w:tc>
          <w:tcPr>
            <w:tcW w:w="359" w:type="dxa"/>
            <w:vMerge/>
            <w:tcBorders>
              <w:top w:val="nil"/>
              <w:left w:val="nil"/>
              <w:bottom w:val="nil"/>
              <w:right w:val="single" w:sz="4" w:space="0" w:color="000000"/>
            </w:tcBorders>
            <w:shd w:val="clear" w:color="auto" w:fill="auto"/>
            <w:vAlign w:val="center"/>
          </w:tcPr>
          <w:p w14:paraId="308AE244" w14:textId="77777777" w:rsidR="00F0566E" w:rsidRDefault="00F0566E">
            <w:pPr>
              <w:rPr>
                <w:rFonts w:cs="Times New Roman"/>
                <w:sz w:val="20"/>
                <w:szCs w:val="20"/>
              </w:rPr>
            </w:pPr>
          </w:p>
        </w:tc>
        <w:tc>
          <w:tcPr>
            <w:tcW w:w="541" w:type="dxa"/>
            <w:tcBorders>
              <w:top w:val="single" w:sz="4" w:space="0" w:color="000000"/>
              <w:left w:val="nil"/>
              <w:bottom w:val="nil"/>
              <w:right w:val="single" w:sz="4" w:space="0" w:color="000000"/>
            </w:tcBorders>
            <w:shd w:val="clear" w:color="auto" w:fill="auto"/>
            <w:vAlign w:val="center"/>
          </w:tcPr>
          <w:p w14:paraId="5B171ABA" w14:textId="77777777" w:rsidR="00F0566E" w:rsidRDefault="00000000">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成本指标</w:t>
            </w:r>
          </w:p>
        </w:tc>
        <w:tc>
          <w:tcPr>
            <w:tcW w:w="1502" w:type="dxa"/>
            <w:tcBorders>
              <w:top w:val="single" w:sz="4" w:space="0" w:color="000000"/>
              <w:left w:val="nil"/>
              <w:bottom w:val="single" w:sz="4" w:space="0" w:color="000000"/>
              <w:right w:val="single" w:sz="4" w:space="0" w:color="000000"/>
            </w:tcBorders>
            <w:shd w:val="clear" w:color="auto" w:fill="auto"/>
            <w:vAlign w:val="center"/>
          </w:tcPr>
          <w:p w14:paraId="20692B1D" w14:textId="77777777" w:rsidR="00F0566E" w:rsidRDefault="00000000">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150元/套</w:t>
            </w:r>
          </w:p>
        </w:tc>
        <w:tc>
          <w:tcPr>
            <w:tcW w:w="1129" w:type="dxa"/>
            <w:tcBorders>
              <w:top w:val="single" w:sz="4" w:space="0" w:color="000000"/>
              <w:left w:val="nil"/>
              <w:bottom w:val="single" w:sz="4" w:space="0" w:color="000000"/>
              <w:right w:val="single" w:sz="4" w:space="0" w:color="000000"/>
            </w:tcBorders>
            <w:shd w:val="clear" w:color="auto" w:fill="auto"/>
            <w:vAlign w:val="center"/>
          </w:tcPr>
          <w:p w14:paraId="7DA7AD55"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120</w:t>
            </w:r>
            <w:r>
              <w:rPr>
                <w:rStyle w:val="15"/>
                <w:lang w:bidi="ar"/>
              </w:rPr>
              <w:t>元</w:t>
            </w:r>
            <w:r>
              <w:rPr>
                <w:rStyle w:val="18"/>
                <w:lang w:bidi="ar"/>
              </w:rPr>
              <w:t>/</w:t>
            </w:r>
            <w:r>
              <w:rPr>
                <w:rStyle w:val="15"/>
                <w:lang w:bidi="ar"/>
              </w:rPr>
              <w:t>套</w:t>
            </w:r>
          </w:p>
        </w:tc>
        <w:tc>
          <w:tcPr>
            <w:tcW w:w="1107" w:type="dxa"/>
            <w:tcBorders>
              <w:top w:val="single" w:sz="4" w:space="0" w:color="000000"/>
              <w:left w:val="nil"/>
              <w:bottom w:val="single" w:sz="4" w:space="0" w:color="000000"/>
              <w:right w:val="single" w:sz="4" w:space="0" w:color="000000"/>
            </w:tcBorders>
            <w:shd w:val="clear" w:color="auto" w:fill="auto"/>
            <w:vAlign w:val="center"/>
          </w:tcPr>
          <w:p w14:paraId="24B17FC1"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120</w:t>
            </w:r>
            <w:r>
              <w:rPr>
                <w:rStyle w:val="15"/>
                <w:lang w:bidi="ar"/>
              </w:rPr>
              <w:t>元</w:t>
            </w:r>
            <w:r>
              <w:rPr>
                <w:rStyle w:val="18"/>
                <w:lang w:bidi="ar"/>
              </w:rPr>
              <w:t>/</w:t>
            </w:r>
            <w:r>
              <w:rPr>
                <w:rStyle w:val="15"/>
                <w:lang w:bidi="ar"/>
              </w:rPr>
              <w:t>套</w:t>
            </w:r>
          </w:p>
        </w:tc>
        <w:tc>
          <w:tcPr>
            <w:tcW w:w="494" w:type="dxa"/>
            <w:tcBorders>
              <w:top w:val="single" w:sz="4" w:space="0" w:color="000000"/>
              <w:left w:val="nil"/>
              <w:bottom w:val="single" w:sz="4" w:space="0" w:color="000000"/>
              <w:right w:val="single" w:sz="4" w:space="0" w:color="000000"/>
            </w:tcBorders>
            <w:shd w:val="clear" w:color="auto" w:fill="auto"/>
            <w:vAlign w:val="center"/>
          </w:tcPr>
          <w:p w14:paraId="487EDBEA"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5</w:t>
            </w:r>
          </w:p>
        </w:tc>
        <w:tc>
          <w:tcPr>
            <w:tcW w:w="496" w:type="dxa"/>
            <w:tcBorders>
              <w:top w:val="single" w:sz="4" w:space="0" w:color="000000"/>
              <w:left w:val="nil"/>
              <w:bottom w:val="single" w:sz="4" w:space="0" w:color="000000"/>
              <w:right w:val="single" w:sz="4" w:space="0" w:color="000000"/>
            </w:tcBorders>
            <w:shd w:val="clear" w:color="auto" w:fill="auto"/>
            <w:vAlign w:val="center"/>
          </w:tcPr>
          <w:p w14:paraId="45C780D1"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5</w:t>
            </w:r>
          </w:p>
        </w:tc>
        <w:tc>
          <w:tcPr>
            <w:tcW w:w="2757" w:type="dxa"/>
            <w:tcBorders>
              <w:top w:val="single" w:sz="4" w:space="0" w:color="000000"/>
              <w:left w:val="nil"/>
              <w:bottom w:val="single" w:sz="4" w:space="0" w:color="000000"/>
              <w:right w:val="single" w:sz="4" w:space="0" w:color="000000"/>
            </w:tcBorders>
            <w:shd w:val="clear" w:color="auto" w:fill="auto"/>
            <w:vAlign w:val="center"/>
          </w:tcPr>
          <w:p w14:paraId="11A59F7B" w14:textId="77777777" w:rsidR="00F0566E" w:rsidRDefault="00F0566E">
            <w:pPr>
              <w:widowControl/>
              <w:jc w:val="center"/>
              <w:rPr>
                <w:rFonts w:eastAsia="宋体" w:cs="Times New Roman"/>
                <w:color w:val="000000"/>
                <w:sz w:val="18"/>
                <w:szCs w:val="18"/>
              </w:rPr>
            </w:pPr>
          </w:p>
        </w:tc>
      </w:tr>
      <w:tr w:rsidR="00F0566E" w14:paraId="0C67B22B" w14:textId="77777777">
        <w:trPr>
          <w:trHeight w:val="698"/>
        </w:trPr>
        <w:tc>
          <w:tcPr>
            <w:tcW w:w="327" w:type="dxa"/>
            <w:vMerge/>
            <w:tcBorders>
              <w:top w:val="nil"/>
              <w:left w:val="single" w:sz="4" w:space="0" w:color="000000"/>
              <w:bottom w:val="single" w:sz="4" w:space="0" w:color="000000"/>
              <w:right w:val="single" w:sz="4" w:space="0" w:color="000000"/>
            </w:tcBorders>
            <w:shd w:val="clear" w:color="auto" w:fill="auto"/>
            <w:vAlign w:val="center"/>
          </w:tcPr>
          <w:p w14:paraId="56D847B2" w14:textId="77777777" w:rsidR="00F0566E" w:rsidRDefault="00F0566E">
            <w:pPr>
              <w:rPr>
                <w:rFonts w:cs="Times New Roman"/>
                <w:sz w:val="20"/>
                <w:szCs w:val="20"/>
              </w:rPr>
            </w:pPr>
          </w:p>
        </w:tc>
        <w:tc>
          <w:tcPr>
            <w:tcW w:w="359" w:type="dxa"/>
            <w:vMerge w:val="restart"/>
            <w:tcBorders>
              <w:top w:val="single" w:sz="4" w:space="0" w:color="000000"/>
              <w:left w:val="nil"/>
              <w:bottom w:val="nil"/>
              <w:right w:val="single" w:sz="4" w:space="0" w:color="000000"/>
            </w:tcBorders>
            <w:shd w:val="clear" w:color="auto" w:fill="auto"/>
            <w:vAlign w:val="center"/>
          </w:tcPr>
          <w:p w14:paraId="4243552D"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效益指标(45分)</w:t>
            </w:r>
          </w:p>
        </w:tc>
        <w:tc>
          <w:tcPr>
            <w:tcW w:w="541" w:type="dxa"/>
            <w:tcBorders>
              <w:top w:val="single" w:sz="4" w:space="0" w:color="000000"/>
              <w:left w:val="nil"/>
              <w:bottom w:val="nil"/>
              <w:right w:val="single" w:sz="4" w:space="0" w:color="000000"/>
            </w:tcBorders>
            <w:shd w:val="clear" w:color="auto" w:fill="auto"/>
            <w:vAlign w:val="center"/>
          </w:tcPr>
          <w:p w14:paraId="2C276D33" w14:textId="77777777" w:rsidR="00F0566E" w:rsidRDefault="00000000">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经济效益指标</w:t>
            </w:r>
          </w:p>
        </w:tc>
        <w:tc>
          <w:tcPr>
            <w:tcW w:w="1502" w:type="dxa"/>
            <w:tcBorders>
              <w:top w:val="single" w:sz="4" w:space="0" w:color="000000"/>
              <w:left w:val="nil"/>
              <w:bottom w:val="single" w:sz="4" w:space="0" w:color="000000"/>
              <w:right w:val="single" w:sz="4" w:space="0" w:color="000000"/>
            </w:tcBorders>
            <w:shd w:val="clear" w:color="auto" w:fill="auto"/>
            <w:vAlign w:val="center"/>
          </w:tcPr>
          <w:p w14:paraId="7F950CCC" w14:textId="77777777" w:rsidR="00F0566E" w:rsidRDefault="00000000">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企业开办首套公章刻制免费</w:t>
            </w:r>
          </w:p>
        </w:tc>
        <w:tc>
          <w:tcPr>
            <w:tcW w:w="1129" w:type="dxa"/>
            <w:tcBorders>
              <w:top w:val="single" w:sz="4" w:space="0" w:color="000000"/>
              <w:left w:val="nil"/>
              <w:bottom w:val="single" w:sz="4" w:space="0" w:color="000000"/>
              <w:right w:val="single" w:sz="4" w:space="0" w:color="000000"/>
            </w:tcBorders>
            <w:shd w:val="clear" w:color="auto" w:fill="auto"/>
            <w:vAlign w:val="center"/>
          </w:tcPr>
          <w:p w14:paraId="1418F50F"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已完成</w:t>
            </w:r>
          </w:p>
        </w:tc>
        <w:tc>
          <w:tcPr>
            <w:tcW w:w="1107" w:type="dxa"/>
            <w:tcBorders>
              <w:top w:val="single" w:sz="4" w:space="0" w:color="000000"/>
              <w:left w:val="nil"/>
              <w:bottom w:val="single" w:sz="4" w:space="0" w:color="000000"/>
              <w:right w:val="single" w:sz="4" w:space="0" w:color="000000"/>
            </w:tcBorders>
            <w:shd w:val="clear" w:color="auto" w:fill="auto"/>
            <w:vAlign w:val="center"/>
          </w:tcPr>
          <w:p w14:paraId="1C7DF92C"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已完成</w:t>
            </w:r>
          </w:p>
        </w:tc>
        <w:tc>
          <w:tcPr>
            <w:tcW w:w="494" w:type="dxa"/>
            <w:tcBorders>
              <w:top w:val="single" w:sz="4" w:space="0" w:color="000000"/>
              <w:left w:val="nil"/>
              <w:bottom w:val="single" w:sz="4" w:space="0" w:color="000000"/>
              <w:right w:val="single" w:sz="4" w:space="0" w:color="000000"/>
            </w:tcBorders>
            <w:shd w:val="clear" w:color="auto" w:fill="auto"/>
            <w:vAlign w:val="center"/>
          </w:tcPr>
          <w:p w14:paraId="27CCD3B8"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15</w:t>
            </w:r>
          </w:p>
        </w:tc>
        <w:tc>
          <w:tcPr>
            <w:tcW w:w="496" w:type="dxa"/>
            <w:tcBorders>
              <w:top w:val="single" w:sz="4" w:space="0" w:color="000000"/>
              <w:left w:val="nil"/>
              <w:bottom w:val="single" w:sz="4" w:space="0" w:color="000000"/>
              <w:right w:val="single" w:sz="4" w:space="0" w:color="000000"/>
            </w:tcBorders>
            <w:shd w:val="clear" w:color="auto" w:fill="auto"/>
            <w:vAlign w:val="center"/>
          </w:tcPr>
          <w:p w14:paraId="77E2FF4D"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15</w:t>
            </w:r>
          </w:p>
        </w:tc>
        <w:tc>
          <w:tcPr>
            <w:tcW w:w="2757" w:type="dxa"/>
            <w:tcBorders>
              <w:top w:val="single" w:sz="4" w:space="0" w:color="000000"/>
              <w:left w:val="nil"/>
              <w:bottom w:val="single" w:sz="4" w:space="0" w:color="000000"/>
              <w:right w:val="single" w:sz="4" w:space="0" w:color="000000"/>
            </w:tcBorders>
            <w:shd w:val="clear" w:color="auto" w:fill="auto"/>
            <w:vAlign w:val="center"/>
          </w:tcPr>
          <w:p w14:paraId="5A69156C" w14:textId="77777777" w:rsidR="00F0566E" w:rsidRDefault="00F0566E">
            <w:pPr>
              <w:widowControl/>
              <w:jc w:val="center"/>
              <w:rPr>
                <w:rFonts w:eastAsia="宋体" w:cs="Times New Roman"/>
                <w:color w:val="000000"/>
                <w:sz w:val="18"/>
                <w:szCs w:val="18"/>
              </w:rPr>
            </w:pPr>
          </w:p>
        </w:tc>
      </w:tr>
      <w:tr w:rsidR="00F0566E" w14:paraId="77CF8438" w14:textId="77777777">
        <w:trPr>
          <w:trHeight w:val="698"/>
        </w:trPr>
        <w:tc>
          <w:tcPr>
            <w:tcW w:w="327" w:type="dxa"/>
            <w:vMerge/>
            <w:tcBorders>
              <w:top w:val="nil"/>
              <w:left w:val="single" w:sz="4" w:space="0" w:color="000000"/>
              <w:bottom w:val="single" w:sz="4" w:space="0" w:color="000000"/>
              <w:right w:val="single" w:sz="4" w:space="0" w:color="000000"/>
            </w:tcBorders>
            <w:shd w:val="clear" w:color="auto" w:fill="auto"/>
            <w:vAlign w:val="center"/>
          </w:tcPr>
          <w:p w14:paraId="012ADE9C" w14:textId="77777777" w:rsidR="00F0566E" w:rsidRDefault="00F0566E">
            <w:pPr>
              <w:rPr>
                <w:rFonts w:cs="Times New Roman"/>
                <w:sz w:val="20"/>
                <w:szCs w:val="20"/>
              </w:rPr>
            </w:pPr>
          </w:p>
        </w:tc>
        <w:tc>
          <w:tcPr>
            <w:tcW w:w="359" w:type="dxa"/>
            <w:vMerge/>
            <w:tcBorders>
              <w:top w:val="single" w:sz="4" w:space="0" w:color="000000"/>
              <w:left w:val="nil"/>
              <w:bottom w:val="nil"/>
              <w:right w:val="single" w:sz="4" w:space="0" w:color="000000"/>
            </w:tcBorders>
            <w:shd w:val="clear" w:color="auto" w:fill="auto"/>
            <w:vAlign w:val="center"/>
          </w:tcPr>
          <w:p w14:paraId="64AAC8FB" w14:textId="77777777" w:rsidR="00F0566E" w:rsidRDefault="00F0566E">
            <w:pPr>
              <w:rPr>
                <w:rFonts w:cs="Times New Roman"/>
                <w:sz w:val="20"/>
                <w:szCs w:val="20"/>
              </w:rPr>
            </w:pPr>
          </w:p>
        </w:tc>
        <w:tc>
          <w:tcPr>
            <w:tcW w:w="541" w:type="dxa"/>
            <w:tcBorders>
              <w:top w:val="single" w:sz="4" w:space="0" w:color="000000"/>
              <w:left w:val="nil"/>
              <w:bottom w:val="nil"/>
              <w:right w:val="single" w:sz="4" w:space="0" w:color="000000"/>
            </w:tcBorders>
            <w:shd w:val="clear" w:color="auto" w:fill="auto"/>
            <w:vAlign w:val="center"/>
          </w:tcPr>
          <w:p w14:paraId="06ED3BE0" w14:textId="77777777" w:rsidR="00F0566E" w:rsidRDefault="00000000">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社会效益指标</w:t>
            </w:r>
          </w:p>
        </w:tc>
        <w:tc>
          <w:tcPr>
            <w:tcW w:w="1502" w:type="dxa"/>
            <w:tcBorders>
              <w:top w:val="single" w:sz="4" w:space="0" w:color="000000"/>
              <w:left w:val="nil"/>
              <w:bottom w:val="single" w:sz="4" w:space="0" w:color="000000"/>
              <w:right w:val="single" w:sz="4" w:space="0" w:color="000000"/>
            </w:tcBorders>
            <w:shd w:val="clear" w:color="auto" w:fill="auto"/>
            <w:vAlign w:val="center"/>
          </w:tcPr>
          <w:p w14:paraId="561EB486" w14:textId="77777777" w:rsidR="00F0566E" w:rsidRDefault="00000000">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降低企业开办成本</w:t>
            </w:r>
          </w:p>
        </w:tc>
        <w:tc>
          <w:tcPr>
            <w:tcW w:w="1129" w:type="dxa"/>
            <w:tcBorders>
              <w:top w:val="single" w:sz="4" w:space="0" w:color="000000"/>
              <w:left w:val="nil"/>
              <w:bottom w:val="single" w:sz="4" w:space="0" w:color="000000"/>
              <w:right w:val="single" w:sz="4" w:space="0" w:color="000000"/>
            </w:tcBorders>
            <w:shd w:val="clear" w:color="auto" w:fill="auto"/>
            <w:vAlign w:val="center"/>
          </w:tcPr>
          <w:p w14:paraId="730062B3"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企业开办零成本</w:t>
            </w:r>
          </w:p>
        </w:tc>
        <w:tc>
          <w:tcPr>
            <w:tcW w:w="1107" w:type="dxa"/>
            <w:tcBorders>
              <w:top w:val="single" w:sz="4" w:space="0" w:color="000000"/>
              <w:left w:val="nil"/>
              <w:bottom w:val="single" w:sz="4" w:space="0" w:color="000000"/>
              <w:right w:val="single" w:sz="4" w:space="0" w:color="000000"/>
            </w:tcBorders>
            <w:shd w:val="clear" w:color="auto" w:fill="auto"/>
            <w:vAlign w:val="center"/>
          </w:tcPr>
          <w:p w14:paraId="70D76E0D"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企业开办零成本</w:t>
            </w:r>
          </w:p>
        </w:tc>
        <w:tc>
          <w:tcPr>
            <w:tcW w:w="494" w:type="dxa"/>
            <w:tcBorders>
              <w:top w:val="single" w:sz="4" w:space="0" w:color="000000"/>
              <w:left w:val="nil"/>
              <w:bottom w:val="single" w:sz="4" w:space="0" w:color="000000"/>
              <w:right w:val="single" w:sz="4" w:space="0" w:color="000000"/>
            </w:tcBorders>
            <w:shd w:val="clear" w:color="auto" w:fill="auto"/>
            <w:vAlign w:val="center"/>
          </w:tcPr>
          <w:p w14:paraId="13A5E0D6"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15</w:t>
            </w:r>
          </w:p>
        </w:tc>
        <w:tc>
          <w:tcPr>
            <w:tcW w:w="496" w:type="dxa"/>
            <w:tcBorders>
              <w:top w:val="single" w:sz="4" w:space="0" w:color="000000"/>
              <w:left w:val="nil"/>
              <w:bottom w:val="single" w:sz="4" w:space="0" w:color="000000"/>
              <w:right w:val="single" w:sz="4" w:space="0" w:color="000000"/>
            </w:tcBorders>
            <w:shd w:val="clear" w:color="auto" w:fill="auto"/>
            <w:vAlign w:val="center"/>
          </w:tcPr>
          <w:p w14:paraId="5DAF2BCF"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15</w:t>
            </w:r>
          </w:p>
        </w:tc>
        <w:tc>
          <w:tcPr>
            <w:tcW w:w="2757" w:type="dxa"/>
            <w:tcBorders>
              <w:top w:val="single" w:sz="4" w:space="0" w:color="000000"/>
              <w:left w:val="nil"/>
              <w:bottom w:val="single" w:sz="4" w:space="0" w:color="000000"/>
              <w:right w:val="single" w:sz="4" w:space="0" w:color="000000"/>
            </w:tcBorders>
            <w:shd w:val="clear" w:color="auto" w:fill="auto"/>
            <w:vAlign w:val="center"/>
          </w:tcPr>
          <w:p w14:paraId="24309BA3" w14:textId="77777777" w:rsidR="00F0566E" w:rsidRDefault="00F0566E">
            <w:pPr>
              <w:widowControl/>
              <w:jc w:val="center"/>
              <w:rPr>
                <w:rFonts w:eastAsia="宋体" w:cs="Times New Roman"/>
                <w:color w:val="000000"/>
                <w:sz w:val="18"/>
                <w:szCs w:val="18"/>
              </w:rPr>
            </w:pPr>
          </w:p>
        </w:tc>
      </w:tr>
      <w:tr w:rsidR="00F0566E" w14:paraId="7FDA0E1D" w14:textId="77777777">
        <w:trPr>
          <w:trHeight w:val="698"/>
        </w:trPr>
        <w:tc>
          <w:tcPr>
            <w:tcW w:w="327" w:type="dxa"/>
            <w:vMerge/>
            <w:tcBorders>
              <w:top w:val="nil"/>
              <w:left w:val="single" w:sz="4" w:space="0" w:color="000000"/>
              <w:bottom w:val="single" w:sz="4" w:space="0" w:color="000000"/>
              <w:right w:val="single" w:sz="4" w:space="0" w:color="000000"/>
            </w:tcBorders>
            <w:shd w:val="clear" w:color="auto" w:fill="auto"/>
            <w:vAlign w:val="center"/>
          </w:tcPr>
          <w:p w14:paraId="6F104789" w14:textId="77777777" w:rsidR="00F0566E" w:rsidRDefault="00F0566E">
            <w:pPr>
              <w:rPr>
                <w:rFonts w:cs="Times New Roman"/>
                <w:sz w:val="20"/>
                <w:szCs w:val="20"/>
              </w:rPr>
            </w:pPr>
          </w:p>
        </w:tc>
        <w:tc>
          <w:tcPr>
            <w:tcW w:w="359" w:type="dxa"/>
            <w:vMerge/>
            <w:tcBorders>
              <w:top w:val="single" w:sz="4" w:space="0" w:color="000000"/>
              <w:left w:val="nil"/>
              <w:bottom w:val="nil"/>
              <w:right w:val="single" w:sz="4" w:space="0" w:color="000000"/>
            </w:tcBorders>
            <w:shd w:val="clear" w:color="auto" w:fill="auto"/>
            <w:vAlign w:val="center"/>
          </w:tcPr>
          <w:p w14:paraId="5E9541E3" w14:textId="77777777" w:rsidR="00F0566E" w:rsidRDefault="00F0566E">
            <w:pPr>
              <w:rPr>
                <w:rFonts w:cs="Times New Roman"/>
                <w:sz w:val="20"/>
                <w:szCs w:val="20"/>
              </w:rPr>
            </w:pPr>
          </w:p>
        </w:tc>
        <w:tc>
          <w:tcPr>
            <w:tcW w:w="541" w:type="dxa"/>
            <w:tcBorders>
              <w:top w:val="single" w:sz="4" w:space="0" w:color="000000"/>
              <w:left w:val="nil"/>
              <w:bottom w:val="nil"/>
              <w:right w:val="single" w:sz="4" w:space="0" w:color="000000"/>
            </w:tcBorders>
            <w:shd w:val="clear" w:color="auto" w:fill="auto"/>
            <w:vAlign w:val="center"/>
          </w:tcPr>
          <w:p w14:paraId="1F0D89B1" w14:textId="77777777" w:rsidR="00F0566E" w:rsidRDefault="00000000">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生态效益指标</w:t>
            </w:r>
          </w:p>
        </w:tc>
        <w:tc>
          <w:tcPr>
            <w:tcW w:w="1502" w:type="dxa"/>
            <w:tcBorders>
              <w:top w:val="single" w:sz="4" w:space="0" w:color="000000"/>
              <w:left w:val="nil"/>
              <w:bottom w:val="single" w:sz="4" w:space="0" w:color="000000"/>
              <w:right w:val="single" w:sz="4" w:space="0" w:color="000000"/>
            </w:tcBorders>
            <w:shd w:val="clear" w:color="auto" w:fill="auto"/>
            <w:vAlign w:val="center"/>
          </w:tcPr>
          <w:p w14:paraId="6568182D" w14:textId="77777777" w:rsidR="00F0566E" w:rsidRDefault="00000000">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指标</w:t>
            </w:r>
            <w:r>
              <w:rPr>
                <w:rStyle w:val="18"/>
                <w:lang w:bidi="ar"/>
              </w:rPr>
              <w:t>1</w:t>
            </w:r>
          </w:p>
        </w:tc>
        <w:tc>
          <w:tcPr>
            <w:tcW w:w="1129" w:type="dxa"/>
            <w:tcBorders>
              <w:top w:val="single" w:sz="4" w:space="0" w:color="000000"/>
              <w:left w:val="nil"/>
              <w:bottom w:val="single" w:sz="4" w:space="0" w:color="000000"/>
              <w:right w:val="single" w:sz="4" w:space="0" w:color="000000"/>
            </w:tcBorders>
            <w:shd w:val="clear" w:color="auto" w:fill="auto"/>
            <w:vAlign w:val="center"/>
          </w:tcPr>
          <w:p w14:paraId="65745E1F" w14:textId="77777777" w:rsidR="00F0566E" w:rsidRDefault="00F0566E">
            <w:pPr>
              <w:widowControl/>
              <w:jc w:val="center"/>
              <w:rPr>
                <w:rFonts w:eastAsia="宋体" w:cs="Times New Roman"/>
                <w:color w:val="000000"/>
                <w:sz w:val="18"/>
                <w:szCs w:val="18"/>
              </w:rPr>
            </w:pPr>
          </w:p>
        </w:tc>
        <w:tc>
          <w:tcPr>
            <w:tcW w:w="1107" w:type="dxa"/>
            <w:tcBorders>
              <w:top w:val="single" w:sz="4" w:space="0" w:color="000000"/>
              <w:left w:val="nil"/>
              <w:bottom w:val="single" w:sz="4" w:space="0" w:color="000000"/>
              <w:right w:val="single" w:sz="4" w:space="0" w:color="000000"/>
            </w:tcBorders>
            <w:shd w:val="clear" w:color="auto" w:fill="auto"/>
            <w:vAlign w:val="center"/>
          </w:tcPr>
          <w:p w14:paraId="3C4BBB0E" w14:textId="77777777" w:rsidR="00F0566E" w:rsidRDefault="00F0566E">
            <w:pPr>
              <w:widowControl/>
              <w:rPr>
                <w:rFonts w:eastAsia="宋体" w:cs="Times New Roman"/>
                <w:color w:val="000000"/>
                <w:sz w:val="18"/>
                <w:szCs w:val="18"/>
              </w:rPr>
            </w:pPr>
          </w:p>
        </w:tc>
        <w:tc>
          <w:tcPr>
            <w:tcW w:w="494" w:type="dxa"/>
            <w:tcBorders>
              <w:top w:val="single" w:sz="4" w:space="0" w:color="000000"/>
              <w:left w:val="nil"/>
              <w:bottom w:val="single" w:sz="4" w:space="0" w:color="000000"/>
              <w:right w:val="single" w:sz="4" w:space="0" w:color="000000"/>
            </w:tcBorders>
            <w:shd w:val="clear" w:color="auto" w:fill="auto"/>
            <w:vAlign w:val="center"/>
          </w:tcPr>
          <w:p w14:paraId="4053E23A" w14:textId="77777777" w:rsidR="00F0566E" w:rsidRDefault="00F0566E">
            <w:pPr>
              <w:widowControl/>
              <w:jc w:val="center"/>
              <w:rPr>
                <w:rFonts w:eastAsia="宋体" w:cs="Times New Roman"/>
                <w:color w:val="000000"/>
                <w:sz w:val="18"/>
                <w:szCs w:val="18"/>
              </w:rPr>
            </w:pPr>
          </w:p>
        </w:tc>
        <w:tc>
          <w:tcPr>
            <w:tcW w:w="496" w:type="dxa"/>
            <w:tcBorders>
              <w:top w:val="single" w:sz="4" w:space="0" w:color="000000"/>
              <w:left w:val="nil"/>
              <w:bottom w:val="single" w:sz="4" w:space="0" w:color="000000"/>
              <w:right w:val="single" w:sz="4" w:space="0" w:color="000000"/>
            </w:tcBorders>
            <w:shd w:val="clear" w:color="auto" w:fill="auto"/>
            <w:vAlign w:val="center"/>
          </w:tcPr>
          <w:p w14:paraId="6D1A9240" w14:textId="77777777" w:rsidR="00F0566E" w:rsidRDefault="00F0566E">
            <w:pPr>
              <w:widowControl/>
              <w:jc w:val="center"/>
              <w:rPr>
                <w:rFonts w:eastAsia="宋体" w:cs="Times New Roman"/>
                <w:color w:val="000000"/>
                <w:sz w:val="18"/>
                <w:szCs w:val="18"/>
              </w:rPr>
            </w:pPr>
          </w:p>
        </w:tc>
        <w:tc>
          <w:tcPr>
            <w:tcW w:w="2757" w:type="dxa"/>
            <w:tcBorders>
              <w:top w:val="single" w:sz="4" w:space="0" w:color="000000"/>
              <w:left w:val="nil"/>
              <w:bottom w:val="single" w:sz="4" w:space="0" w:color="000000"/>
              <w:right w:val="single" w:sz="4" w:space="0" w:color="000000"/>
            </w:tcBorders>
            <w:shd w:val="clear" w:color="auto" w:fill="auto"/>
            <w:vAlign w:val="center"/>
          </w:tcPr>
          <w:p w14:paraId="2F699085" w14:textId="77777777" w:rsidR="00F0566E" w:rsidRDefault="00F0566E">
            <w:pPr>
              <w:widowControl/>
              <w:jc w:val="center"/>
              <w:rPr>
                <w:rFonts w:eastAsia="宋体" w:cs="Times New Roman"/>
                <w:color w:val="000000"/>
                <w:sz w:val="18"/>
                <w:szCs w:val="18"/>
              </w:rPr>
            </w:pPr>
          </w:p>
        </w:tc>
      </w:tr>
      <w:tr w:rsidR="00F0566E" w14:paraId="07F44159" w14:textId="77777777">
        <w:trPr>
          <w:trHeight w:val="698"/>
        </w:trPr>
        <w:tc>
          <w:tcPr>
            <w:tcW w:w="327" w:type="dxa"/>
            <w:vMerge/>
            <w:tcBorders>
              <w:top w:val="nil"/>
              <w:left w:val="single" w:sz="4" w:space="0" w:color="000000"/>
              <w:bottom w:val="single" w:sz="4" w:space="0" w:color="000000"/>
              <w:right w:val="single" w:sz="4" w:space="0" w:color="000000"/>
            </w:tcBorders>
            <w:shd w:val="clear" w:color="auto" w:fill="auto"/>
            <w:vAlign w:val="center"/>
          </w:tcPr>
          <w:p w14:paraId="6B5C5988" w14:textId="77777777" w:rsidR="00F0566E" w:rsidRDefault="00F0566E">
            <w:pPr>
              <w:rPr>
                <w:rFonts w:cs="Times New Roman"/>
                <w:sz w:val="20"/>
                <w:szCs w:val="20"/>
              </w:rPr>
            </w:pPr>
          </w:p>
        </w:tc>
        <w:tc>
          <w:tcPr>
            <w:tcW w:w="359" w:type="dxa"/>
            <w:vMerge/>
            <w:tcBorders>
              <w:top w:val="single" w:sz="4" w:space="0" w:color="000000"/>
              <w:left w:val="nil"/>
              <w:bottom w:val="nil"/>
              <w:right w:val="single" w:sz="4" w:space="0" w:color="000000"/>
            </w:tcBorders>
            <w:shd w:val="clear" w:color="auto" w:fill="auto"/>
            <w:vAlign w:val="center"/>
          </w:tcPr>
          <w:p w14:paraId="50E39EEE" w14:textId="77777777" w:rsidR="00F0566E" w:rsidRDefault="00F0566E">
            <w:pPr>
              <w:rPr>
                <w:rFonts w:cs="Times New Roman"/>
                <w:sz w:val="20"/>
                <w:szCs w:val="20"/>
              </w:rPr>
            </w:pPr>
          </w:p>
        </w:tc>
        <w:tc>
          <w:tcPr>
            <w:tcW w:w="541" w:type="dxa"/>
            <w:tcBorders>
              <w:top w:val="single" w:sz="4" w:space="0" w:color="000000"/>
              <w:left w:val="nil"/>
              <w:bottom w:val="nil"/>
              <w:right w:val="single" w:sz="4" w:space="0" w:color="000000"/>
            </w:tcBorders>
            <w:shd w:val="clear" w:color="auto" w:fill="auto"/>
            <w:vAlign w:val="center"/>
          </w:tcPr>
          <w:p w14:paraId="4754F949" w14:textId="77777777" w:rsidR="00F0566E" w:rsidRDefault="00000000">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可持续影响指标</w:t>
            </w:r>
          </w:p>
        </w:tc>
        <w:tc>
          <w:tcPr>
            <w:tcW w:w="1502" w:type="dxa"/>
            <w:tcBorders>
              <w:top w:val="single" w:sz="4" w:space="0" w:color="000000"/>
              <w:left w:val="nil"/>
              <w:bottom w:val="single" w:sz="4" w:space="0" w:color="000000"/>
              <w:right w:val="single" w:sz="4" w:space="0" w:color="000000"/>
            </w:tcBorders>
            <w:shd w:val="clear" w:color="auto" w:fill="auto"/>
            <w:vAlign w:val="center"/>
          </w:tcPr>
          <w:p w14:paraId="21EC43C8" w14:textId="77777777" w:rsidR="00F0566E" w:rsidRDefault="00000000">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优化营商环境</w:t>
            </w:r>
          </w:p>
        </w:tc>
        <w:tc>
          <w:tcPr>
            <w:tcW w:w="1129" w:type="dxa"/>
            <w:tcBorders>
              <w:top w:val="single" w:sz="4" w:space="0" w:color="000000"/>
              <w:left w:val="nil"/>
              <w:bottom w:val="single" w:sz="4" w:space="0" w:color="000000"/>
              <w:right w:val="single" w:sz="4" w:space="0" w:color="000000"/>
            </w:tcBorders>
            <w:shd w:val="clear" w:color="auto" w:fill="auto"/>
            <w:vAlign w:val="center"/>
          </w:tcPr>
          <w:p w14:paraId="7FF11676"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优化营商环境</w:t>
            </w:r>
          </w:p>
        </w:tc>
        <w:tc>
          <w:tcPr>
            <w:tcW w:w="1107" w:type="dxa"/>
            <w:tcBorders>
              <w:top w:val="single" w:sz="4" w:space="0" w:color="000000"/>
              <w:left w:val="nil"/>
              <w:bottom w:val="single" w:sz="4" w:space="0" w:color="000000"/>
              <w:right w:val="single" w:sz="4" w:space="0" w:color="000000"/>
            </w:tcBorders>
            <w:shd w:val="clear" w:color="auto" w:fill="auto"/>
            <w:vAlign w:val="center"/>
          </w:tcPr>
          <w:p w14:paraId="5EF79FA8"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优化营商环境</w:t>
            </w:r>
          </w:p>
        </w:tc>
        <w:tc>
          <w:tcPr>
            <w:tcW w:w="494" w:type="dxa"/>
            <w:tcBorders>
              <w:top w:val="single" w:sz="4" w:space="0" w:color="000000"/>
              <w:left w:val="nil"/>
              <w:bottom w:val="single" w:sz="4" w:space="0" w:color="000000"/>
              <w:right w:val="single" w:sz="4" w:space="0" w:color="000000"/>
            </w:tcBorders>
            <w:shd w:val="clear" w:color="auto" w:fill="auto"/>
            <w:vAlign w:val="center"/>
          </w:tcPr>
          <w:p w14:paraId="5CB4D45C"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15</w:t>
            </w:r>
          </w:p>
        </w:tc>
        <w:tc>
          <w:tcPr>
            <w:tcW w:w="496" w:type="dxa"/>
            <w:tcBorders>
              <w:top w:val="single" w:sz="4" w:space="0" w:color="000000"/>
              <w:left w:val="nil"/>
              <w:bottom w:val="single" w:sz="4" w:space="0" w:color="000000"/>
              <w:right w:val="single" w:sz="4" w:space="0" w:color="000000"/>
            </w:tcBorders>
            <w:shd w:val="clear" w:color="auto" w:fill="auto"/>
            <w:vAlign w:val="center"/>
          </w:tcPr>
          <w:p w14:paraId="2043AF95"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15</w:t>
            </w:r>
          </w:p>
        </w:tc>
        <w:tc>
          <w:tcPr>
            <w:tcW w:w="2757" w:type="dxa"/>
            <w:tcBorders>
              <w:top w:val="single" w:sz="4" w:space="0" w:color="000000"/>
              <w:left w:val="nil"/>
              <w:bottom w:val="single" w:sz="4" w:space="0" w:color="000000"/>
              <w:right w:val="single" w:sz="4" w:space="0" w:color="000000"/>
            </w:tcBorders>
            <w:shd w:val="clear" w:color="auto" w:fill="auto"/>
            <w:vAlign w:val="center"/>
          </w:tcPr>
          <w:p w14:paraId="5FB398A8" w14:textId="77777777" w:rsidR="00F0566E" w:rsidRDefault="00F0566E">
            <w:pPr>
              <w:widowControl/>
              <w:jc w:val="center"/>
              <w:rPr>
                <w:rFonts w:eastAsia="宋体" w:cs="Times New Roman"/>
                <w:color w:val="000000"/>
                <w:sz w:val="18"/>
                <w:szCs w:val="18"/>
              </w:rPr>
            </w:pPr>
          </w:p>
        </w:tc>
      </w:tr>
      <w:tr w:rsidR="00F0566E" w14:paraId="356780C9" w14:textId="77777777">
        <w:trPr>
          <w:trHeight w:val="698"/>
        </w:trPr>
        <w:tc>
          <w:tcPr>
            <w:tcW w:w="327" w:type="dxa"/>
            <w:vMerge/>
            <w:tcBorders>
              <w:top w:val="nil"/>
              <w:left w:val="single" w:sz="4" w:space="0" w:color="000000"/>
              <w:bottom w:val="single" w:sz="4" w:space="0" w:color="000000"/>
              <w:right w:val="single" w:sz="4" w:space="0" w:color="000000"/>
            </w:tcBorders>
            <w:shd w:val="clear" w:color="auto" w:fill="auto"/>
            <w:vAlign w:val="center"/>
          </w:tcPr>
          <w:p w14:paraId="407B9E6B" w14:textId="77777777" w:rsidR="00F0566E" w:rsidRDefault="00F0566E">
            <w:pPr>
              <w:rPr>
                <w:rFonts w:cs="Times New Roman"/>
                <w:sz w:val="20"/>
                <w:szCs w:val="20"/>
              </w:rPr>
            </w:pPr>
          </w:p>
        </w:tc>
        <w:tc>
          <w:tcPr>
            <w:tcW w:w="359" w:type="dxa"/>
            <w:tcBorders>
              <w:top w:val="nil"/>
              <w:left w:val="nil"/>
              <w:bottom w:val="nil"/>
              <w:right w:val="single" w:sz="4" w:space="0" w:color="000000"/>
            </w:tcBorders>
            <w:shd w:val="clear" w:color="auto" w:fill="auto"/>
            <w:vAlign w:val="center"/>
          </w:tcPr>
          <w:p w14:paraId="6179335B" w14:textId="77777777" w:rsidR="00F0566E" w:rsidRDefault="00000000">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满意度指标(5分)</w:t>
            </w:r>
          </w:p>
        </w:tc>
        <w:tc>
          <w:tcPr>
            <w:tcW w:w="541" w:type="dxa"/>
            <w:tcBorders>
              <w:top w:val="nil"/>
              <w:left w:val="nil"/>
              <w:bottom w:val="nil"/>
              <w:right w:val="single" w:sz="4" w:space="0" w:color="000000"/>
            </w:tcBorders>
            <w:shd w:val="clear" w:color="auto" w:fill="auto"/>
            <w:vAlign w:val="center"/>
          </w:tcPr>
          <w:p w14:paraId="01B404A7" w14:textId="77777777" w:rsidR="00F0566E" w:rsidRDefault="00000000">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服务对象等方面满意度指标</w:t>
            </w:r>
          </w:p>
        </w:tc>
        <w:tc>
          <w:tcPr>
            <w:tcW w:w="1502" w:type="dxa"/>
            <w:tcBorders>
              <w:top w:val="single" w:sz="4" w:space="0" w:color="000000"/>
              <w:left w:val="nil"/>
              <w:bottom w:val="single" w:sz="4" w:space="0" w:color="000000"/>
              <w:right w:val="single" w:sz="4" w:space="0" w:color="000000"/>
            </w:tcBorders>
            <w:shd w:val="clear" w:color="auto" w:fill="auto"/>
            <w:vAlign w:val="center"/>
          </w:tcPr>
          <w:p w14:paraId="72231EEE" w14:textId="77777777" w:rsidR="00F0566E" w:rsidRDefault="00000000">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新开办企业的满意度</w:t>
            </w:r>
          </w:p>
        </w:tc>
        <w:tc>
          <w:tcPr>
            <w:tcW w:w="1129" w:type="dxa"/>
            <w:tcBorders>
              <w:top w:val="single" w:sz="4" w:space="0" w:color="000000"/>
              <w:left w:val="nil"/>
              <w:bottom w:val="single" w:sz="4" w:space="0" w:color="000000"/>
              <w:right w:val="single" w:sz="4" w:space="0" w:color="000000"/>
            </w:tcBorders>
            <w:shd w:val="clear" w:color="auto" w:fill="auto"/>
            <w:vAlign w:val="center"/>
          </w:tcPr>
          <w:p w14:paraId="48668D5E"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100%</w:t>
            </w:r>
            <w:r>
              <w:rPr>
                <w:rStyle w:val="15"/>
                <w:lang w:bidi="ar"/>
              </w:rPr>
              <w:t>满意</w:t>
            </w:r>
          </w:p>
        </w:tc>
        <w:tc>
          <w:tcPr>
            <w:tcW w:w="1107" w:type="dxa"/>
            <w:tcBorders>
              <w:top w:val="single" w:sz="4" w:space="0" w:color="000000"/>
              <w:left w:val="nil"/>
              <w:bottom w:val="single" w:sz="4" w:space="0" w:color="000000"/>
              <w:right w:val="single" w:sz="4" w:space="0" w:color="000000"/>
            </w:tcBorders>
            <w:shd w:val="clear" w:color="auto" w:fill="auto"/>
            <w:vAlign w:val="center"/>
          </w:tcPr>
          <w:p w14:paraId="214A3820"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100%</w:t>
            </w:r>
            <w:r>
              <w:rPr>
                <w:rStyle w:val="15"/>
                <w:lang w:bidi="ar"/>
              </w:rPr>
              <w:t>满意</w:t>
            </w:r>
          </w:p>
        </w:tc>
        <w:tc>
          <w:tcPr>
            <w:tcW w:w="494" w:type="dxa"/>
            <w:tcBorders>
              <w:top w:val="single" w:sz="4" w:space="0" w:color="000000"/>
              <w:left w:val="nil"/>
              <w:bottom w:val="single" w:sz="4" w:space="0" w:color="000000"/>
              <w:right w:val="single" w:sz="4" w:space="0" w:color="000000"/>
            </w:tcBorders>
            <w:shd w:val="clear" w:color="auto" w:fill="auto"/>
            <w:vAlign w:val="center"/>
          </w:tcPr>
          <w:p w14:paraId="3757E976"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5</w:t>
            </w:r>
          </w:p>
        </w:tc>
        <w:tc>
          <w:tcPr>
            <w:tcW w:w="496" w:type="dxa"/>
            <w:tcBorders>
              <w:top w:val="single" w:sz="4" w:space="0" w:color="000000"/>
              <w:left w:val="nil"/>
              <w:bottom w:val="single" w:sz="4" w:space="0" w:color="000000"/>
              <w:right w:val="single" w:sz="4" w:space="0" w:color="000000"/>
            </w:tcBorders>
            <w:shd w:val="clear" w:color="auto" w:fill="auto"/>
            <w:vAlign w:val="center"/>
          </w:tcPr>
          <w:p w14:paraId="42A4126F"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5</w:t>
            </w:r>
          </w:p>
        </w:tc>
        <w:tc>
          <w:tcPr>
            <w:tcW w:w="2757" w:type="dxa"/>
            <w:tcBorders>
              <w:top w:val="single" w:sz="4" w:space="0" w:color="000000"/>
              <w:left w:val="nil"/>
              <w:bottom w:val="single" w:sz="4" w:space="0" w:color="000000"/>
              <w:right w:val="single" w:sz="4" w:space="0" w:color="000000"/>
            </w:tcBorders>
            <w:shd w:val="clear" w:color="auto" w:fill="auto"/>
            <w:vAlign w:val="center"/>
          </w:tcPr>
          <w:p w14:paraId="2B63F980" w14:textId="77777777" w:rsidR="00F0566E" w:rsidRDefault="00F0566E">
            <w:pPr>
              <w:widowControl/>
              <w:jc w:val="center"/>
              <w:rPr>
                <w:rFonts w:eastAsia="宋体" w:cs="Times New Roman"/>
                <w:color w:val="000000"/>
                <w:sz w:val="18"/>
                <w:szCs w:val="18"/>
              </w:rPr>
            </w:pPr>
          </w:p>
        </w:tc>
      </w:tr>
      <w:tr w:rsidR="00F0566E" w14:paraId="18B8E83F" w14:textId="77777777">
        <w:trPr>
          <w:trHeight w:val="698"/>
        </w:trPr>
        <w:tc>
          <w:tcPr>
            <w:tcW w:w="49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EC47E54" w14:textId="77777777" w:rsidR="00F0566E" w:rsidRDefault="00000000">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总  分</w:t>
            </w:r>
          </w:p>
        </w:tc>
        <w:tc>
          <w:tcPr>
            <w:tcW w:w="494" w:type="dxa"/>
            <w:tcBorders>
              <w:top w:val="single" w:sz="4" w:space="0" w:color="000000"/>
              <w:left w:val="nil"/>
              <w:bottom w:val="single" w:sz="4" w:space="0" w:color="000000"/>
              <w:right w:val="single" w:sz="4" w:space="0" w:color="000000"/>
            </w:tcBorders>
            <w:shd w:val="clear" w:color="auto" w:fill="auto"/>
            <w:vAlign w:val="center"/>
          </w:tcPr>
          <w:p w14:paraId="332F3827"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100</w:t>
            </w:r>
          </w:p>
        </w:tc>
        <w:tc>
          <w:tcPr>
            <w:tcW w:w="496" w:type="dxa"/>
            <w:tcBorders>
              <w:top w:val="single" w:sz="4" w:space="0" w:color="000000"/>
              <w:left w:val="nil"/>
              <w:bottom w:val="single" w:sz="4" w:space="0" w:color="000000"/>
              <w:right w:val="single" w:sz="4" w:space="0" w:color="000000"/>
            </w:tcBorders>
            <w:shd w:val="clear" w:color="auto" w:fill="auto"/>
            <w:vAlign w:val="center"/>
          </w:tcPr>
          <w:p w14:paraId="358A0FA1"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100</w:t>
            </w:r>
          </w:p>
        </w:tc>
        <w:tc>
          <w:tcPr>
            <w:tcW w:w="2757" w:type="dxa"/>
            <w:tcBorders>
              <w:top w:val="single" w:sz="4" w:space="0" w:color="000000"/>
              <w:left w:val="nil"/>
              <w:bottom w:val="single" w:sz="4" w:space="0" w:color="000000"/>
              <w:right w:val="single" w:sz="4" w:space="0" w:color="000000"/>
            </w:tcBorders>
            <w:shd w:val="clear" w:color="auto" w:fill="auto"/>
            <w:vAlign w:val="center"/>
          </w:tcPr>
          <w:p w14:paraId="0C8656B4" w14:textId="77777777" w:rsidR="00F0566E" w:rsidRDefault="00F0566E">
            <w:pPr>
              <w:widowControl/>
              <w:jc w:val="left"/>
              <w:rPr>
                <w:rFonts w:eastAsia="宋体" w:cs="Times New Roman"/>
                <w:color w:val="000000"/>
                <w:sz w:val="18"/>
                <w:szCs w:val="18"/>
              </w:rPr>
            </w:pPr>
          </w:p>
        </w:tc>
      </w:tr>
      <w:tr w:rsidR="00F0566E" w14:paraId="688DEE06" w14:textId="77777777">
        <w:trPr>
          <w:trHeight w:val="698"/>
        </w:trPr>
        <w:tc>
          <w:tcPr>
            <w:tcW w:w="12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B27CDA"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自评结论</w:t>
            </w:r>
          </w:p>
        </w:tc>
        <w:tc>
          <w:tcPr>
            <w:tcW w:w="1502" w:type="dxa"/>
            <w:tcBorders>
              <w:top w:val="single" w:sz="4" w:space="0" w:color="000000"/>
              <w:left w:val="nil"/>
              <w:bottom w:val="single" w:sz="4" w:space="0" w:color="000000"/>
              <w:right w:val="single" w:sz="4" w:space="0" w:color="000000"/>
            </w:tcBorders>
            <w:shd w:val="clear" w:color="auto" w:fill="auto"/>
            <w:vAlign w:val="center"/>
          </w:tcPr>
          <w:p w14:paraId="426C6101" w14:textId="77777777" w:rsidR="00F0566E"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优</w:t>
            </w:r>
          </w:p>
        </w:tc>
        <w:tc>
          <w:tcPr>
            <w:tcW w:w="5983" w:type="dxa"/>
            <w:gridSpan w:val="5"/>
            <w:tcBorders>
              <w:top w:val="single" w:sz="4" w:space="0" w:color="000000"/>
              <w:left w:val="nil"/>
              <w:bottom w:val="single" w:sz="4" w:space="0" w:color="000000"/>
              <w:right w:val="single" w:sz="4" w:space="0" w:color="000000"/>
            </w:tcBorders>
            <w:shd w:val="clear" w:color="auto" w:fill="auto"/>
            <w:vAlign w:val="center"/>
          </w:tcPr>
          <w:p w14:paraId="52D24AD7" w14:textId="77777777" w:rsidR="00F0566E" w:rsidRDefault="00000000">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说明：1.总分90分（含）以上的，执行率91%(含)以上自评结论为“优”，50%（含）-91%为“良”，低于50%为“中”；2.总分90-80分（含）的，执行率50%（含）以上结论为“良”，低于50%为“中”；3.指标得分80-60分（含），结论为“中”；4.总分低于60分的，结论为“差”。</w:t>
            </w:r>
          </w:p>
        </w:tc>
      </w:tr>
      <w:tr w:rsidR="00F0566E" w14:paraId="2B714F4F" w14:textId="77777777">
        <w:trPr>
          <w:trHeight w:val="1004"/>
        </w:trPr>
        <w:tc>
          <w:tcPr>
            <w:tcW w:w="12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F146CE"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主管部门审核意见</w:t>
            </w:r>
          </w:p>
        </w:tc>
        <w:tc>
          <w:tcPr>
            <w:tcW w:w="7485" w:type="dxa"/>
            <w:gridSpan w:val="6"/>
            <w:tcBorders>
              <w:top w:val="nil"/>
              <w:left w:val="nil"/>
              <w:bottom w:val="single" w:sz="4" w:space="0" w:color="000000"/>
              <w:right w:val="single" w:sz="4" w:space="0" w:color="000000"/>
            </w:tcBorders>
            <w:shd w:val="clear" w:color="auto" w:fill="auto"/>
            <w:vAlign w:val="center"/>
          </w:tcPr>
          <w:p w14:paraId="6E361284" w14:textId="77777777" w:rsidR="00F0566E"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 xml:space="preserve">                                       （盖章）</w:t>
            </w:r>
          </w:p>
        </w:tc>
      </w:tr>
    </w:tbl>
    <w:p w14:paraId="34FC5F32" w14:textId="77777777" w:rsidR="00F0566E" w:rsidRDefault="00000000">
      <w:pPr>
        <w:pStyle w:val="Default"/>
        <w:widowControl/>
        <w:rPr>
          <w:rFonts w:ascii="仿宋" w:eastAsia="仿宋" w:hAnsi="仿宋" w:cs="仿宋" w:hint="default"/>
          <w:sz w:val="32"/>
          <w:szCs w:val="32"/>
          <w:highlight w:val="white"/>
        </w:rPr>
      </w:pPr>
      <w:r>
        <w:rPr>
          <w:rFonts w:ascii="仿宋" w:eastAsia="仿宋" w:hAnsi="仿宋" w:cs="仿宋"/>
          <w:sz w:val="32"/>
          <w:szCs w:val="32"/>
          <w:highlight w:val="white"/>
        </w:rPr>
        <w:t xml:space="preserve"> </w:t>
      </w:r>
    </w:p>
    <w:p w14:paraId="50DCBE4E"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2021年度市场监管工作经费项目绩效自评综述：根据年初设定的绩效目标对全市登记入库的在用场（厂）车进行统一安</w:t>
      </w:r>
      <w:r>
        <w:rPr>
          <w:rFonts w:ascii="仿宋" w:eastAsia="仿宋" w:hAnsi="仿宋" w:cs="仿宋" w:hint="eastAsia"/>
          <w:color w:val="000000"/>
          <w:highlight w:val="white"/>
          <w:lang w:bidi="ar"/>
        </w:rPr>
        <w:lastRenderedPageBreak/>
        <w:t>装叉车智慧监管系统，应用科技手段，形成智慧监管，有效预防和遏制事故发生；切实保障市场监管各项工作的正常开展，更好地履行我局公共管理职能，向广大市场主体提供更优质的服务，构建稳定有序的市场监管格局，项目自评得分100分，自评结论为“优”。项目全年预算数为133万元，执行数为133万元，完成预算的100%。项目绩效目标完成情况：完成场（厂）车智慧监管系统及硬件安全610台，覆盖率达95%以上，消除安全监管工作盲区，实现场（厂）车质量安全可追溯，有效预防和遏制事故发生。下一步改进措施：实现覆盖率达100%。</w:t>
      </w:r>
    </w:p>
    <w:tbl>
      <w:tblPr>
        <w:tblW w:w="0" w:type="auto"/>
        <w:tblInd w:w="93" w:type="dxa"/>
        <w:tblLayout w:type="fixed"/>
        <w:tblCellMar>
          <w:top w:w="15" w:type="dxa"/>
          <w:left w:w="15" w:type="dxa"/>
          <w:bottom w:w="15" w:type="dxa"/>
          <w:right w:w="15" w:type="dxa"/>
        </w:tblCellMar>
        <w:tblLook w:val="04A0" w:firstRow="1" w:lastRow="0" w:firstColumn="1" w:lastColumn="0" w:noHBand="0" w:noVBand="1"/>
      </w:tblPr>
      <w:tblGrid>
        <w:gridCol w:w="343"/>
        <w:gridCol w:w="343"/>
        <w:gridCol w:w="376"/>
        <w:gridCol w:w="1925"/>
        <w:gridCol w:w="1395"/>
        <w:gridCol w:w="1336"/>
        <w:gridCol w:w="519"/>
        <w:gridCol w:w="519"/>
        <w:gridCol w:w="2256"/>
      </w:tblGrid>
      <w:tr w:rsidR="00F0566E" w14:paraId="5052D189" w14:textId="77777777">
        <w:trPr>
          <w:trHeight w:val="668"/>
        </w:trPr>
        <w:tc>
          <w:tcPr>
            <w:tcW w:w="9012" w:type="dxa"/>
            <w:gridSpan w:val="9"/>
            <w:tcBorders>
              <w:top w:val="nil"/>
              <w:left w:val="nil"/>
              <w:bottom w:val="nil"/>
              <w:right w:val="nil"/>
            </w:tcBorders>
            <w:shd w:val="clear" w:color="auto" w:fill="auto"/>
            <w:vAlign w:val="center"/>
          </w:tcPr>
          <w:p w14:paraId="3F7D9891" w14:textId="77777777" w:rsidR="00F0566E" w:rsidRDefault="00000000">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lang w:bidi="ar"/>
              </w:rPr>
              <w:t>项目支出绩效自评表</w:t>
            </w:r>
          </w:p>
        </w:tc>
      </w:tr>
      <w:tr w:rsidR="00F0566E" w14:paraId="0EBE4B31" w14:textId="77777777">
        <w:trPr>
          <w:trHeight w:val="328"/>
        </w:trPr>
        <w:tc>
          <w:tcPr>
            <w:tcW w:w="9012" w:type="dxa"/>
            <w:gridSpan w:val="9"/>
            <w:tcBorders>
              <w:top w:val="nil"/>
              <w:left w:val="nil"/>
              <w:bottom w:val="nil"/>
              <w:right w:val="nil"/>
            </w:tcBorders>
            <w:shd w:val="clear" w:color="auto" w:fill="auto"/>
            <w:vAlign w:val="center"/>
          </w:tcPr>
          <w:p w14:paraId="143D4CF7" w14:textId="77777777" w:rsidR="00F0566E" w:rsidRDefault="00000000">
            <w:pPr>
              <w:widowControl/>
              <w:jc w:val="center"/>
              <w:textAlignment w:val="center"/>
              <w:rPr>
                <w:rFonts w:eastAsia="宋体" w:cs="Times New Roman"/>
                <w:color w:val="000000"/>
                <w:sz w:val="20"/>
                <w:szCs w:val="20"/>
              </w:rPr>
            </w:pPr>
            <w:r>
              <w:rPr>
                <w:rStyle w:val="19"/>
                <w:lang w:bidi="ar"/>
              </w:rPr>
              <w:t>（</w:t>
            </w:r>
            <w:r>
              <w:rPr>
                <w:rFonts w:eastAsia="宋体" w:cs="Times New Roman"/>
                <w:color w:val="000000"/>
                <w:kern w:val="0"/>
                <w:sz w:val="20"/>
                <w:szCs w:val="20"/>
                <w:lang w:bidi="ar"/>
              </w:rPr>
              <w:t>2021</w:t>
            </w:r>
            <w:r>
              <w:rPr>
                <w:rStyle w:val="19"/>
                <w:lang w:bidi="ar"/>
              </w:rPr>
              <w:t>年度）</w:t>
            </w:r>
          </w:p>
        </w:tc>
      </w:tr>
      <w:tr w:rsidR="00F0566E" w14:paraId="08F4D1F5" w14:textId="77777777">
        <w:trPr>
          <w:trHeight w:val="369"/>
        </w:trPr>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5757C4"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项目名称</w:t>
            </w:r>
          </w:p>
        </w:tc>
        <w:tc>
          <w:tcPr>
            <w:tcW w:w="3696" w:type="dxa"/>
            <w:gridSpan w:val="3"/>
            <w:tcBorders>
              <w:top w:val="single" w:sz="4" w:space="0" w:color="000000"/>
              <w:left w:val="nil"/>
              <w:bottom w:val="single" w:sz="4" w:space="0" w:color="000000"/>
              <w:right w:val="single" w:sz="4" w:space="0" w:color="000000"/>
            </w:tcBorders>
            <w:shd w:val="clear" w:color="auto" w:fill="auto"/>
            <w:vAlign w:val="center"/>
          </w:tcPr>
          <w:p w14:paraId="72CEC02F" w14:textId="77777777" w:rsidR="00F0566E" w:rsidRDefault="00000000">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2021年度市场监管工作经费</w:t>
            </w:r>
          </w:p>
        </w:tc>
        <w:tc>
          <w:tcPr>
            <w:tcW w:w="1336" w:type="dxa"/>
            <w:tcBorders>
              <w:top w:val="single" w:sz="4" w:space="0" w:color="000000"/>
              <w:left w:val="nil"/>
              <w:bottom w:val="single" w:sz="4" w:space="0" w:color="000000"/>
              <w:right w:val="single" w:sz="4" w:space="0" w:color="000000"/>
            </w:tcBorders>
            <w:shd w:val="clear" w:color="auto" w:fill="auto"/>
            <w:vAlign w:val="center"/>
          </w:tcPr>
          <w:p w14:paraId="00AFBDF2"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项目负责人</w:t>
            </w:r>
          </w:p>
        </w:tc>
        <w:tc>
          <w:tcPr>
            <w:tcW w:w="3294" w:type="dxa"/>
            <w:gridSpan w:val="3"/>
            <w:tcBorders>
              <w:top w:val="single" w:sz="4" w:space="0" w:color="000000"/>
              <w:left w:val="nil"/>
              <w:bottom w:val="single" w:sz="4" w:space="0" w:color="000000"/>
              <w:right w:val="single" w:sz="4" w:space="0" w:color="000000"/>
            </w:tcBorders>
            <w:shd w:val="clear" w:color="auto" w:fill="auto"/>
            <w:vAlign w:val="center"/>
          </w:tcPr>
          <w:p w14:paraId="71168B8F" w14:textId="77777777" w:rsidR="00F0566E" w:rsidRDefault="00000000">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18"/>
                <w:szCs w:val="18"/>
                <w:lang w:bidi="ar"/>
              </w:rPr>
              <w:t>兰溪市市场监督管理局</w:t>
            </w:r>
          </w:p>
        </w:tc>
      </w:tr>
      <w:tr w:rsidR="00F0566E" w14:paraId="7186D5E5" w14:textId="77777777">
        <w:trPr>
          <w:trHeight w:val="369"/>
        </w:trPr>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275D53" w14:textId="77777777" w:rsidR="00F0566E" w:rsidRDefault="00000000">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预算单位盖章</w:t>
            </w:r>
          </w:p>
        </w:tc>
        <w:tc>
          <w:tcPr>
            <w:tcW w:w="3696" w:type="dxa"/>
            <w:gridSpan w:val="3"/>
            <w:tcBorders>
              <w:top w:val="single" w:sz="4" w:space="0" w:color="000000"/>
              <w:left w:val="nil"/>
              <w:bottom w:val="single" w:sz="4" w:space="0" w:color="000000"/>
              <w:right w:val="single" w:sz="4" w:space="0" w:color="000000"/>
            </w:tcBorders>
            <w:shd w:val="clear" w:color="auto" w:fill="auto"/>
            <w:vAlign w:val="center"/>
          </w:tcPr>
          <w:p w14:paraId="08341146" w14:textId="77777777" w:rsidR="00F0566E" w:rsidRDefault="00000000">
            <w:pPr>
              <w:widowControl/>
              <w:ind w:firstLineChars="300" w:firstLine="630"/>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兰溪市市场监督管理局</w:t>
            </w:r>
          </w:p>
        </w:tc>
        <w:tc>
          <w:tcPr>
            <w:tcW w:w="1336" w:type="dxa"/>
            <w:tcBorders>
              <w:top w:val="single" w:sz="4" w:space="0" w:color="000000"/>
              <w:left w:val="nil"/>
              <w:bottom w:val="single" w:sz="4" w:space="0" w:color="000000"/>
              <w:right w:val="single" w:sz="4" w:space="0" w:color="000000"/>
            </w:tcBorders>
            <w:shd w:val="clear" w:color="auto" w:fill="auto"/>
            <w:vAlign w:val="center"/>
          </w:tcPr>
          <w:p w14:paraId="50874EEB"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主管部门</w:t>
            </w:r>
          </w:p>
        </w:tc>
        <w:tc>
          <w:tcPr>
            <w:tcW w:w="3294" w:type="dxa"/>
            <w:gridSpan w:val="3"/>
            <w:tcBorders>
              <w:top w:val="single" w:sz="4" w:space="0" w:color="000000"/>
              <w:left w:val="nil"/>
              <w:bottom w:val="single" w:sz="4" w:space="0" w:color="000000"/>
              <w:right w:val="single" w:sz="4" w:space="0" w:color="000000"/>
            </w:tcBorders>
            <w:shd w:val="clear" w:color="auto" w:fill="auto"/>
            <w:vAlign w:val="center"/>
          </w:tcPr>
          <w:p w14:paraId="71EB78D1" w14:textId="77777777" w:rsidR="00F0566E" w:rsidRDefault="00000000">
            <w:pPr>
              <w:widowControl/>
              <w:ind w:firstLineChars="400" w:firstLine="72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兰溪市市场监督管理局</w:t>
            </w:r>
          </w:p>
        </w:tc>
      </w:tr>
      <w:tr w:rsidR="00F0566E" w14:paraId="2CFD7CB3" w14:textId="77777777">
        <w:trPr>
          <w:trHeight w:val="310"/>
        </w:trPr>
        <w:tc>
          <w:tcPr>
            <w:tcW w:w="686"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5CC8A8A7"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项目资金</w:t>
            </w:r>
            <w:r>
              <w:rPr>
                <w:rFonts w:ascii="宋体" w:eastAsia="宋体" w:hAnsi="宋体" w:cs="宋体" w:hint="eastAsia"/>
                <w:color w:val="000000"/>
                <w:kern w:val="0"/>
                <w:sz w:val="18"/>
                <w:szCs w:val="18"/>
                <w:lang w:bidi="ar"/>
              </w:rPr>
              <w:br/>
              <w:t>（万元）</w:t>
            </w:r>
          </w:p>
        </w:tc>
        <w:tc>
          <w:tcPr>
            <w:tcW w:w="2301" w:type="dxa"/>
            <w:gridSpan w:val="2"/>
            <w:vMerge w:val="restart"/>
            <w:tcBorders>
              <w:top w:val="nil"/>
              <w:left w:val="nil"/>
              <w:bottom w:val="single" w:sz="4" w:space="0" w:color="000000"/>
              <w:right w:val="single" w:sz="4" w:space="0" w:color="000000"/>
            </w:tcBorders>
            <w:shd w:val="clear" w:color="auto" w:fill="auto"/>
            <w:vAlign w:val="center"/>
          </w:tcPr>
          <w:p w14:paraId="18FAEF41" w14:textId="77777777" w:rsidR="00F0566E" w:rsidRDefault="00000000">
            <w:pPr>
              <w:widowControl/>
              <w:jc w:val="center"/>
              <w:textAlignment w:val="center"/>
              <w:rPr>
                <w:rFonts w:ascii="Calibri" w:eastAsia="宋体" w:hAnsi="Calibri" w:cs="Calibri"/>
                <w:color w:val="000000"/>
                <w:sz w:val="21"/>
                <w:szCs w:val="21"/>
              </w:rPr>
            </w:pPr>
            <w:r>
              <w:rPr>
                <w:rFonts w:ascii="宋体" w:eastAsia="宋体" w:hAnsi="宋体" w:cs="宋体" w:hint="eastAsia"/>
                <w:color w:val="000000"/>
                <w:kern w:val="0"/>
                <w:sz w:val="21"/>
                <w:szCs w:val="21"/>
                <w:lang w:bidi="ar"/>
              </w:rPr>
              <w:t>资金来源</w:t>
            </w:r>
          </w:p>
        </w:tc>
        <w:tc>
          <w:tcPr>
            <w:tcW w:w="1395" w:type="dxa"/>
            <w:vMerge w:val="restart"/>
            <w:tcBorders>
              <w:top w:val="nil"/>
              <w:left w:val="nil"/>
              <w:bottom w:val="single" w:sz="4" w:space="0" w:color="000000"/>
              <w:right w:val="single" w:sz="4" w:space="0" w:color="000000"/>
            </w:tcBorders>
            <w:shd w:val="clear" w:color="auto" w:fill="auto"/>
            <w:vAlign w:val="center"/>
          </w:tcPr>
          <w:p w14:paraId="6DB94942"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年初预算数</w:t>
            </w:r>
          </w:p>
        </w:tc>
        <w:tc>
          <w:tcPr>
            <w:tcW w:w="1336" w:type="dxa"/>
            <w:tcBorders>
              <w:top w:val="single" w:sz="4" w:space="0" w:color="000000"/>
              <w:left w:val="nil"/>
              <w:bottom w:val="single" w:sz="4" w:space="0" w:color="000000"/>
              <w:right w:val="single" w:sz="4" w:space="0" w:color="000000"/>
            </w:tcBorders>
            <w:shd w:val="clear" w:color="auto" w:fill="auto"/>
            <w:vAlign w:val="center"/>
          </w:tcPr>
          <w:p w14:paraId="783C4F1A"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全年预算数</w:t>
            </w:r>
          </w:p>
        </w:tc>
        <w:tc>
          <w:tcPr>
            <w:tcW w:w="1038" w:type="dxa"/>
            <w:gridSpan w:val="2"/>
            <w:tcBorders>
              <w:top w:val="single" w:sz="4" w:space="0" w:color="000000"/>
              <w:left w:val="nil"/>
              <w:bottom w:val="single" w:sz="4" w:space="0" w:color="000000"/>
              <w:right w:val="single" w:sz="4" w:space="0" w:color="000000"/>
            </w:tcBorders>
            <w:shd w:val="clear" w:color="auto" w:fill="auto"/>
            <w:vAlign w:val="center"/>
          </w:tcPr>
          <w:p w14:paraId="3CB38877"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全年执行数</w:t>
            </w:r>
          </w:p>
        </w:tc>
        <w:tc>
          <w:tcPr>
            <w:tcW w:w="2256" w:type="dxa"/>
            <w:tcBorders>
              <w:top w:val="single" w:sz="4" w:space="0" w:color="000000"/>
              <w:left w:val="nil"/>
              <w:bottom w:val="single" w:sz="4" w:space="0" w:color="000000"/>
              <w:right w:val="single" w:sz="4" w:space="0" w:color="000000"/>
            </w:tcBorders>
            <w:shd w:val="clear" w:color="auto" w:fill="auto"/>
            <w:vAlign w:val="center"/>
          </w:tcPr>
          <w:p w14:paraId="4E8705FC"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执行率</w:t>
            </w:r>
          </w:p>
        </w:tc>
      </w:tr>
      <w:tr w:rsidR="00F0566E" w14:paraId="4CFCCCD7" w14:textId="77777777">
        <w:trPr>
          <w:trHeight w:val="310"/>
        </w:trPr>
        <w:tc>
          <w:tcPr>
            <w:tcW w:w="686" w:type="dxa"/>
            <w:gridSpan w:val="2"/>
            <w:vMerge/>
            <w:tcBorders>
              <w:top w:val="nil"/>
              <w:left w:val="single" w:sz="4" w:space="0" w:color="000000"/>
              <w:bottom w:val="single" w:sz="4" w:space="0" w:color="000000"/>
              <w:right w:val="single" w:sz="4" w:space="0" w:color="000000"/>
            </w:tcBorders>
            <w:shd w:val="clear" w:color="auto" w:fill="auto"/>
            <w:vAlign w:val="center"/>
          </w:tcPr>
          <w:p w14:paraId="13A5A4F0" w14:textId="77777777" w:rsidR="00F0566E" w:rsidRDefault="00F0566E">
            <w:pPr>
              <w:rPr>
                <w:rFonts w:cs="Times New Roman"/>
                <w:sz w:val="20"/>
                <w:szCs w:val="20"/>
              </w:rPr>
            </w:pPr>
          </w:p>
        </w:tc>
        <w:tc>
          <w:tcPr>
            <w:tcW w:w="2301" w:type="dxa"/>
            <w:gridSpan w:val="2"/>
            <w:vMerge/>
            <w:tcBorders>
              <w:top w:val="nil"/>
              <w:left w:val="nil"/>
              <w:bottom w:val="single" w:sz="4" w:space="0" w:color="000000"/>
              <w:right w:val="single" w:sz="4" w:space="0" w:color="000000"/>
            </w:tcBorders>
            <w:shd w:val="clear" w:color="auto" w:fill="auto"/>
            <w:vAlign w:val="center"/>
          </w:tcPr>
          <w:p w14:paraId="54B550B8" w14:textId="77777777" w:rsidR="00F0566E" w:rsidRDefault="00F0566E">
            <w:pPr>
              <w:rPr>
                <w:rFonts w:cs="Times New Roman"/>
                <w:sz w:val="20"/>
                <w:szCs w:val="20"/>
              </w:rPr>
            </w:pPr>
          </w:p>
        </w:tc>
        <w:tc>
          <w:tcPr>
            <w:tcW w:w="1395" w:type="dxa"/>
            <w:vMerge/>
            <w:tcBorders>
              <w:top w:val="nil"/>
              <w:left w:val="nil"/>
              <w:bottom w:val="single" w:sz="4" w:space="0" w:color="000000"/>
              <w:right w:val="single" w:sz="4" w:space="0" w:color="000000"/>
            </w:tcBorders>
            <w:shd w:val="clear" w:color="auto" w:fill="auto"/>
            <w:vAlign w:val="center"/>
          </w:tcPr>
          <w:p w14:paraId="4AE69243" w14:textId="77777777" w:rsidR="00F0566E" w:rsidRDefault="00F0566E">
            <w:pPr>
              <w:rPr>
                <w:rFonts w:cs="Times New Roman"/>
                <w:sz w:val="20"/>
                <w:szCs w:val="20"/>
              </w:rPr>
            </w:pPr>
          </w:p>
        </w:tc>
        <w:tc>
          <w:tcPr>
            <w:tcW w:w="1336" w:type="dxa"/>
            <w:tcBorders>
              <w:top w:val="single" w:sz="4" w:space="0" w:color="000000"/>
              <w:left w:val="nil"/>
              <w:bottom w:val="single" w:sz="4" w:space="0" w:color="000000"/>
              <w:right w:val="single" w:sz="4" w:space="0" w:color="000000"/>
            </w:tcBorders>
            <w:shd w:val="clear" w:color="auto" w:fill="auto"/>
            <w:vAlign w:val="center"/>
          </w:tcPr>
          <w:p w14:paraId="0A85F201"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r>
              <w:rPr>
                <w:rFonts w:eastAsia="宋体" w:cs="Times New Roman"/>
                <w:color w:val="000000"/>
                <w:kern w:val="0"/>
                <w:sz w:val="18"/>
                <w:szCs w:val="18"/>
                <w:lang w:bidi="ar"/>
              </w:rPr>
              <w:t>A</w:t>
            </w:r>
            <w:r>
              <w:rPr>
                <w:rFonts w:ascii="宋体" w:eastAsia="宋体" w:hAnsi="宋体" w:cs="宋体" w:hint="eastAsia"/>
                <w:color w:val="000000"/>
                <w:kern w:val="0"/>
                <w:sz w:val="18"/>
                <w:szCs w:val="18"/>
                <w:lang w:bidi="ar"/>
              </w:rPr>
              <w:t>）</w:t>
            </w:r>
          </w:p>
        </w:tc>
        <w:tc>
          <w:tcPr>
            <w:tcW w:w="1038" w:type="dxa"/>
            <w:gridSpan w:val="2"/>
            <w:tcBorders>
              <w:top w:val="single" w:sz="4" w:space="0" w:color="000000"/>
              <w:left w:val="nil"/>
              <w:bottom w:val="single" w:sz="4" w:space="0" w:color="000000"/>
              <w:right w:val="single" w:sz="4" w:space="0" w:color="000000"/>
            </w:tcBorders>
            <w:shd w:val="clear" w:color="auto" w:fill="auto"/>
            <w:vAlign w:val="center"/>
          </w:tcPr>
          <w:p w14:paraId="4FA1C5C9"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r>
              <w:rPr>
                <w:rFonts w:eastAsia="宋体" w:cs="Times New Roman"/>
                <w:color w:val="000000"/>
                <w:kern w:val="0"/>
                <w:sz w:val="18"/>
                <w:szCs w:val="18"/>
                <w:lang w:bidi="ar"/>
              </w:rPr>
              <w:t>B</w:t>
            </w:r>
            <w:r>
              <w:rPr>
                <w:rFonts w:ascii="宋体" w:eastAsia="宋体" w:hAnsi="宋体" w:cs="宋体" w:hint="eastAsia"/>
                <w:color w:val="000000"/>
                <w:kern w:val="0"/>
                <w:sz w:val="18"/>
                <w:szCs w:val="18"/>
                <w:lang w:bidi="ar"/>
              </w:rPr>
              <w:t>）</w:t>
            </w:r>
          </w:p>
        </w:tc>
        <w:tc>
          <w:tcPr>
            <w:tcW w:w="2256" w:type="dxa"/>
            <w:tcBorders>
              <w:top w:val="single" w:sz="4" w:space="0" w:color="000000"/>
              <w:left w:val="nil"/>
              <w:bottom w:val="single" w:sz="4" w:space="0" w:color="000000"/>
              <w:right w:val="single" w:sz="4" w:space="0" w:color="000000"/>
            </w:tcBorders>
            <w:shd w:val="clear" w:color="auto" w:fill="auto"/>
            <w:vAlign w:val="center"/>
          </w:tcPr>
          <w:p w14:paraId="0C2D9D6B"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r>
              <w:rPr>
                <w:rFonts w:eastAsia="宋体" w:cs="Times New Roman"/>
                <w:color w:val="000000"/>
                <w:kern w:val="0"/>
                <w:sz w:val="18"/>
                <w:szCs w:val="18"/>
                <w:lang w:bidi="ar"/>
              </w:rPr>
              <w:t>B/A</w:t>
            </w:r>
            <w:r>
              <w:rPr>
                <w:rFonts w:ascii="宋体" w:eastAsia="宋体" w:hAnsi="宋体" w:cs="宋体" w:hint="eastAsia"/>
                <w:color w:val="000000"/>
                <w:kern w:val="0"/>
                <w:sz w:val="18"/>
                <w:szCs w:val="18"/>
                <w:lang w:bidi="ar"/>
              </w:rPr>
              <w:t>）</w:t>
            </w:r>
          </w:p>
        </w:tc>
      </w:tr>
      <w:tr w:rsidR="00F0566E" w14:paraId="597BAAC7" w14:textId="77777777">
        <w:trPr>
          <w:trHeight w:val="369"/>
        </w:trPr>
        <w:tc>
          <w:tcPr>
            <w:tcW w:w="686" w:type="dxa"/>
            <w:gridSpan w:val="2"/>
            <w:vMerge/>
            <w:tcBorders>
              <w:top w:val="nil"/>
              <w:left w:val="single" w:sz="4" w:space="0" w:color="000000"/>
              <w:bottom w:val="single" w:sz="4" w:space="0" w:color="000000"/>
              <w:right w:val="single" w:sz="4" w:space="0" w:color="000000"/>
            </w:tcBorders>
            <w:shd w:val="clear" w:color="auto" w:fill="auto"/>
            <w:vAlign w:val="center"/>
          </w:tcPr>
          <w:p w14:paraId="194B2C13" w14:textId="77777777" w:rsidR="00F0566E" w:rsidRDefault="00F0566E">
            <w:pPr>
              <w:rPr>
                <w:rFonts w:cs="Times New Roman"/>
                <w:sz w:val="20"/>
                <w:szCs w:val="20"/>
              </w:rPr>
            </w:pPr>
          </w:p>
        </w:tc>
        <w:tc>
          <w:tcPr>
            <w:tcW w:w="2301" w:type="dxa"/>
            <w:gridSpan w:val="2"/>
            <w:tcBorders>
              <w:top w:val="single" w:sz="4" w:space="0" w:color="000000"/>
              <w:left w:val="nil"/>
              <w:bottom w:val="single" w:sz="4" w:space="0" w:color="000000"/>
              <w:right w:val="single" w:sz="4" w:space="0" w:color="000000"/>
            </w:tcBorders>
            <w:shd w:val="clear" w:color="auto" w:fill="auto"/>
            <w:vAlign w:val="center"/>
          </w:tcPr>
          <w:p w14:paraId="73E691D1"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年度资金总额</w:t>
            </w:r>
          </w:p>
        </w:tc>
        <w:tc>
          <w:tcPr>
            <w:tcW w:w="1395" w:type="dxa"/>
            <w:tcBorders>
              <w:top w:val="single" w:sz="4" w:space="0" w:color="000000"/>
              <w:left w:val="nil"/>
              <w:bottom w:val="single" w:sz="4" w:space="0" w:color="000000"/>
              <w:right w:val="single" w:sz="4" w:space="0" w:color="000000"/>
            </w:tcBorders>
            <w:shd w:val="clear" w:color="auto" w:fill="auto"/>
            <w:vAlign w:val="center"/>
          </w:tcPr>
          <w:p w14:paraId="6F74F29D" w14:textId="77777777" w:rsidR="00F0566E" w:rsidRDefault="00000000">
            <w:pPr>
              <w:widowControl/>
              <w:jc w:val="left"/>
              <w:textAlignment w:val="center"/>
              <w:rPr>
                <w:rFonts w:eastAsia="宋体" w:cs="Times New Roman"/>
                <w:color w:val="000000"/>
                <w:sz w:val="18"/>
                <w:szCs w:val="18"/>
              </w:rPr>
            </w:pPr>
            <w:r>
              <w:rPr>
                <w:rFonts w:eastAsia="宋体" w:cs="Times New Roman"/>
                <w:color w:val="000000"/>
                <w:kern w:val="0"/>
                <w:sz w:val="18"/>
                <w:szCs w:val="18"/>
                <w:lang w:bidi="ar"/>
              </w:rPr>
              <w:t>0</w:t>
            </w:r>
          </w:p>
        </w:tc>
        <w:tc>
          <w:tcPr>
            <w:tcW w:w="1336" w:type="dxa"/>
            <w:tcBorders>
              <w:top w:val="single" w:sz="4" w:space="0" w:color="000000"/>
              <w:left w:val="nil"/>
              <w:bottom w:val="single" w:sz="4" w:space="0" w:color="000000"/>
              <w:right w:val="single" w:sz="4" w:space="0" w:color="000000"/>
            </w:tcBorders>
            <w:shd w:val="clear" w:color="auto" w:fill="auto"/>
            <w:vAlign w:val="center"/>
          </w:tcPr>
          <w:p w14:paraId="748C5C41" w14:textId="77777777" w:rsidR="00F0566E" w:rsidRDefault="00000000">
            <w:pPr>
              <w:widowControl/>
              <w:jc w:val="left"/>
              <w:textAlignment w:val="center"/>
              <w:rPr>
                <w:rFonts w:eastAsia="宋体" w:cs="Times New Roman"/>
                <w:color w:val="000000"/>
                <w:sz w:val="18"/>
                <w:szCs w:val="18"/>
              </w:rPr>
            </w:pPr>
            <w:r>
              <w:rPr>
                <w:rFonts w:eastAsia="宋体" w:cs="Times New Roman"/>
                <w:color w:val="000000"/>
                <w:kern w:val="0"/>
                <w:sz w:val="18"/>
                <w:szCs w:val="18"/>
                <w:lang w:bidi="ar"/>
              </w:rPr>
              <w:t>133</w:t>
            </w:r>
          </w:p>
        </w:tc>
        <w:tc>
          <w:tcPr>
            <w:tcW w:w="1038" w:type="dxa"/>
            <w:gridSpan w:val="2"/>
            <w:tcBorders>
              <w:top w:val="single" w:sz="4" w:space="0" w:color="000000"/>
              <w:left w:val="nil"/>
              <w:bottom w:val="single" w:sz="4" w:space="0" w:color="000000"/>
              <w:right w:val="single" w:sz="4" w:space="0" w:color="000000"/>
            </w:tcBorders>
            <w:shd w:val="clear" w:color="auto" w:fill="auto"/>
            <w:vAlign w:val="center"/>
          </w:tcPr>
          <w:p w14:paraId="47BC271E" w14:textId="77777777" w:rsidR="00F0566E" w:rsidRDefault="00000000">
            <w:pPr>
              <w:widowControl/>
              <w:jc w:val="left"/>
              <w:textAlignment w:val="center"/>
              <w:rPr>
                <w:rFonts w:eastAsia="宋体" w:cs="Times New Roman"/>
                <w:color w:val="000000"/>
                <w:sz w:val="18"/>
                <w:szCs w:val="18"/>
              </w:rPr>
            </w:pPr>
            <w:r>
              <w:rPr>
                <w:rFonts w:eastAsia="宋体" w:cs="Times New Roman"/>
                <w:color w:val="000000"/>
                <w:kern w:val="0"/>
                <w:sz w:val="18"/>
                <w:szCs w:val="18"/>
                <w:lang w:bidi="ar"/>
              </w:rPr>
              <w:t>133</w:t>
            </w:r>
          </w:p>
        </w:tc>
        <w:tc>
          <w:tcPr>
            <w:tcW w:w="2256" w:type="dxa"/>
            <w:tcBorders>
              <w:top w:val="single" w:sz="4" w:space="0" w:color="000000"/>
              <w:left w:val="nil"/>
              <w:bottom w:val="single" w:sz="4" w:space="0" w:color="000000"/>
              <w:right w:val="single" w:sz="4" w:space="0" w:color="000000"/>
            </w:tcBorders>
            <w:shd w:val="clear" w:color="auto" w:fill="auto"/>
            <w:vAlign w:val="center"/>
          </w:tcPr>
          <w:p w14:paraId="18358D55"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100.0%</w:t>
            </w:r>
          </w:p>
        </w:tc>
      </w:tr>
      <w:tr w:rsidR="00F0566E" w14:paraId="2D01FC69" w14:textId="77777777">
        <w:trPr>
          <w:trHeight w:val="369"/>
        </w:trPr>
        <w:tc>
          <w:tcPr>
            <w:tcW w:w="686" w:type="dxa"/>
            <w:gridSpan w:val="2"/>
            <w:vMerge/>
            <w:tcBorders>
              <w:top w:val="nil"/>
              <w:left w:val="single" w:sz="4" w:space="0" w:color="000000"/>
              <w:bottom w:val="single" w:sz="4" w:space="0" w:color="000000"/>
              <w:right w:val="single" w:sz="4" w:space="0" w:color="000000"/>
            </w:tcBorders>
            <w:shd w:val="clear" w:color="auto" w:fill="auto"/>
            <w:vAlign w:val="center"/>
          </w:tcPr>
          <w:p w14:paraId="78537745" w14:textId="77777777" w:rsidR="00F0566E" w:rsidRDefault="00F0566E">
            <w:pPr>
              <w:rPr>
                <w:rFonts w:cs="Times New Roman"/>
                <w:sz w:val="20"/>
                <w:szCs w:val="20"/>
              </w:rPr>
            </w:pPr>
          </w:p>
        </w:tc>
        <w:tc>
          <w:tcPr>
            <w:tcW w:w="2301" w:type="dxa"/>
            <w:gridSpan w:val="2"/>
            <w:tcBorders>
              <w:top w:val="single" w:sz="4" w:space="0" w:color="000000"/>
              <w:left w:val="nil"/>
              <w:bottom w:val="single" w:sz="4" w:space="0" w:color="000000"/>
              <w:right w:val="single" w:sz="4" w:space="0" w:color="000000"/>
            </w:tcBorders>
            <w:shd w:val="clear" w:color="auto" w:fill="auto"/>
            <w:vAlign w:val="center"/>
          </w:tcPr>
          <w:p w14:paraId="3513903F" w14:textId="77777777" w:rsidR="00F0566E" w:rsidRDefault="00000000">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其中：一般公共预算本级资金</w:t>
            </w:r>
          </w:p>
        </w:tc>
        <w:tc>
          <w:tcPr>
            <w:tcW w:w="1395" w:type="dxa"/>
            <w:tcBorders>
              <w:top w:val="single" w:sz="4" w:space="0" w:color="000000"/>
              <w:left w:val="nil"/>
              <w:bottom w:val="single" w:sz="4" w:space="0" w:color="000000"/>
              <w:right w:val="single" w:sz="4" w:space="0" w:color="000000"/>
            </w:tcBorders>
            <w:shd w:val="clear" w:color="auto" w:fill="auto"/>
            <w:vAlign w:val="center"/>
          </w:tcPr>
          <w:p w14:paraId="4A91963B" w14:textId="77777777" w:rsidR="00F0566E" w:rsidRDefault="00F0566E">
            <w:pPr>
              <w:widowControl/>
              <w:rPr>
                <w:rFonts w:eastAsia="宋体" w:cs="Times New Roman"/>
                <w:color w:val="000000"/>
                <w:sz w:val="18"/>
                <w:szCs w:val="18"/>
              </w:rPr>
            </w:pPr>
          </w:p>
        </w:tc>
        <w:tc>
          <w:tcPr>
            <w:tcW w:w="1336" w:type="dxa"/>
            <w:tcBorders>
              <w:top w:val="single" w:sz="4" w:space="0" w:color="000000"/>
              <w:left w:val="nil"/>
              <w:bottom w:val="single" w:sz="4" w:space="0" w:color="000000"/>
              <w:right w:val="single" w:sz="4" w:space="0" w:color="000000"/>
            </w:tcBorders>
            <w:shd w:val="clear" w:color="auto" w:fill="auto"/>
            <w:vAlign w:val="center"/>
          </w:tcPr>
          <w:p w14:paraId="4E3D2B00" w14:textId="77777777" w:rsidR="00F0566E" w:rsidRDefault="00000000">
            <w:pPr>
              <w:widowControl/>
              <w:jc w:val="left"/>
              <w:textAlignment w:val="center"/>
              <w:rPr>
                <w:rFonts w:eastAsia="宋体" w:cs="Times New Roman"/>
                <w:color w:val="000000"/>
                <w:sz w:val="18"/>
                <w:szCs w:val="18"/>
              </w:rPr>
            </w:pPr>
            <w:r>
              <w:rPr>
                <w:rFonts w:eastAsia="宋体" w:cs="Times New Roman"/>
                <w:color w:val="000000"/>
                <w:kern w:val="0"/>
                <w:sz w:val="18"/>
                <w:szCs w:val="18"/>
                <w:lang w:bidi="ar"/>
              </w:rPr>
              <w:t>133</w:t>
            </w:r>
          </w:p>
        </w:tc>
        <w:tc>
          <w:tcPr>
            <w:tcW w:w="1038" w:type="dxa"/>
            <w:gridSpan w:val="2"/>
            <w:tcBorders>
              <w:top w:val="single" w:sz="4" w:space="0" w:color="000000"/>
              <w:left w:val="nil"/>
              <w:bottom w:val="single" w:sz="4" w:space="0" w:color="000000"/>
              <w:right w:val="single" w:sz="4" w:space="0" w:color="000000"/>
            </w:tcBorders>
            <w:shd w:val="clear" w:color="auto" w:fill="auto"/>
            <w:vAlign w:val="center"/>
          </w:tcPr>
          <w:p w14:paraId="1BA7897A" w14:textId="77777777" w:rsidR="00F0566E" w:rsidRDefault="00000000">
            <w:pPr>
              <w:widowControl/>
              <w:jc w:val="left"/>
              <w:textAlignment w:val="center"/>
              <w:rPr>
                <w:rFonts w:eastAsia="宋体" w:cs="Times New Roman"/>
                <w:color w:val="000000"/>
                <w:sz w:val="18"/>
                <w:szCs w:val="18"/>
              </w:rPr>
            </w:pPr>
            <w:r>
              <w:rPr>
                <w:rFonts w:eastAsia="宋体" w:cs="Times New Roman"/>
                <w:color w:val="000000"/>
                <w:kern w:val="0"/>
                <w:sz w:val="18"/>
                <w:szCs w:val="18"/>
                <w:lang w:bidi="ar"/>
              </w:rPr>
              <w:t>133</w:t>
            </w:r>
          </w:p>
        </w:tc>
        <w:tc>
          <w:tcPr>
            <w:tcW w:w="2256" w:type="dxa"/>
            <w:tcBorders>
              <w:top w:val="single" w:sz="4" w:space="0" w:color="000000"/>
              <w:left w:val="nil"/>
              <w:bottom w:val="single" w:sz="4" w:space="0" w:color="000000"/>
              <w:right w:val="single" w:sz="4" w:space="0" w:color="000000"/>
            </w:tcBorders>
            <w:shd w:val="clear" w:color="auto" w:fill="auto"/>
            <w:vAlign w:val="center"/>
          </w:tcPr>
          <w:p w14:paraId="0551C512"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100.0%</w:t>
            </w:r>
          </w:p>
        </w:tc>
      </w:tr>
      <w:tr w:rsidR="00F0566E" w14:paraId="5702B916" w14:textId="77777777">
        <w:trPr>
          <w:trHeight w:val="369"/>
        </w:trPr>
        <w:tc>
          <w:tcPr>
            <w:tcW w:w="686" w:type="dxa"/>
            <w:gridSpan w:val="2"/>
            <w:vMerge/>
            <w:tcBorders>
              <w:top w:val="nil"/>
              <w:left w:val="single" w:sz="4" w:space="0" w:color="000000"/>
              <w:bottom w:val="single" w:sz="4" w:space="0" w:color="000000"/>
              <w:right w:val="single" w:sz="4" w:space="0" w:color="000000"/>
            </w:tcBorders>
            <w:shd w:val="clear" w:color="auto" w:fill="auto"/>
            <w:vAlign w:val="center"/>
          </w:tcPr>
          <w:p w14:paraId="403D1CD0" w14:textId="77777777" w:rsidR="00F0566E" w:rsidRDefault="00F0566E">
            <w:pPr>
              <w:rPr>
                <w:rFonts w:cs="Times New Roman"/>
                <w:sz w:val="20"/>
                <w:szCs w:val="20"/>
              </w:rPr>
            </w:pPr>
          </w:p>
        </w:tc>
        <w:tc>
          <w:tcPr>
            <w:tcW w:w="2301" w:type="dxa"/>
            <w:gridSpan w:val="2"/>
            <w:tcBorders>
              <w:top w:val="single" w:sz="4" w:space="0" w:color="000000"/>
              <w:left w:val="nil"/>
              <w:bottom w:val="single" w:sz="4" w:space="0" w:color="000000"/>
              <w:right w:val="single" w:sz="4" w:space="0" w:color="000000"/>
            </w:tcBorders>
            <w:shd w:val="clear" w:color="auto" w:fill="auto"/>
            <w:vAlign w:val="center"/>
          </w:tcPr>
          <w:p w14:paraId="03873B25" w14:textId="77777777" w:rsidR="00F0566E" w:rsidRDefault="00000000">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一般公共预算上级资金</w:t>
            </w:r>
          </w:p>
        </w:tc>
        <w:tc>
          <w:tcPr>
            <w:tcW w:w="1395" w:type="dxa"/>
            <w:tcBorders>
              <w:top w:val="single" w:sz="4" w:space="0" w:color="000000"/>
              <w:left w:val="nil"/>
              <w:bottom w:val="single" w:sz="4" w:space="0" w:color="000000"/>
              <w:right w:val="single" w:sz="4" w:space="0" w:color="000000"/>
            </w:tcBorders>
            <w:shd w:val="clear" w:color="auto" w:fill="auto"/>
            <w:vAlign w:val="center"/>
          </w:tcPr>
          <w:p w14:paraId="75F4BD46" w14:textId="77777777" w:rsidR="00F0566E" w:rsidRDefault="00F0566E">
            <w:pPr>
              <w:widowControl/>
              <w:rPr>
                <w:rFonts w:eastAsia="宋体" w:cs="Times New Roman"/>
                <w:color w:val="000000"/>
                <w:sz w:val="18"/>
                <w:szCs w:val="18"/>
              </w:rPr>
            </w:pPr>
          </w:p>
        </w:tc>
        <w:tc>
          <w:tcPr>
            <w:tcW w:w="1336" w:type="dxa"/>
            <w:tcBorders>
              <w:top w:val="single" w:sz="4" w:space="0" w:color="000000"/>
              <w:left w:val="nil"/>
              <w:bottom w:val="single" w:sz="4" w:space="0" w:color="000000"/>
              <w:right w:val="single" w:sz="4" w:space="0" w:color="000000"/>
            </w:tcBorders>
            <w:shd w:val="clear" w:color="auto" w:fill="auto"/>
            <w:vAlign w:val="center"/>
          </w:tcPr>
          <w:p w14:paraId="490E2788" w14:textId="77777777" w:rsidR="00F0566E" w:rsidRDefault="00F0566E">
            <w:pPr>
              <w:widowControl/>
              <w:rPr>
                <w:rFonts w:eastAsia="宋体" w:cs="Times New Roman"/>
                <w:color w:val="000000"/>
                <w:sz w:val="18"/>
                <w:szCs w:val="18"/>
              </w:rPr>
            </w:pPr>
          </w:p>
        </w:tc>
        <w:tc>
          <w:tcPr>
            <w:tcW w:w="1038" w:type="dxa"/>
            <w:gridSpan w:val="2"/>
            <w:tcBorders>
              <w:top w:val="single" w:sz="4" w:space="0" w:color="000000"/>
              <w:left w:val="nil"/>
              <w:bottom w:val="single" w:sz="4" w:space="0" w:color="000000"/>
              <w:right w:val="single" w:sz="4" w:space="0" w:color="000000"/>
            </w:tcBorders>
            <w:shd w:val="clear" w:color="auto" w:fill="auto"/>
            <w:vAlign w:val="center"/>
          </w:tcPr>
          <w:p w14:paraId="3F0F650C" w14:textId="77777777" w:rsidR="00F0566E" w:rsidRDefault="00F0566E">
            <w:pPr>
              <w:widowControl/>
              <w:rPr>
                <w:rFonts w:eastAsia="宋体" w:cs="Times New Roman"/>
                <w:color w:val="000000"/>
                <w:sz w:val="18"/>
                <w:szCs w:val="18"/>
              </w:rPr>
            </w:pPr>
          </w:p>
        </w:tc>
        <w:tc>
          <w:tcPr>
            <w:tcW w:w="2256" w:type="dxa"/>
            <w:tcBorders>
              <w:top w:val="single" w:sz="4" w:space="0" w:color="000000"/>
              <w:left w:val="nil"/>
              <w:bottom w:val="single" w:sz="4" w:space="0" w:color="000000"/>
              <w:right w:val="single" w:sz="4" w:space="0" w:color="000000"/>
            </w:tcBorders>
            <w:shd w:val="clear" w:color="auto" w:fill="auto"/>
            <w:vAlign w:val="center"/>
          </w:tcPr>
          <w:p w14:paraId="4CA452A1" w14:textId="77777777" w:rsidR="00F0566E" w:rsidRDefault="00F0566E">
            <w:pPr>
              <w:widowControl/>
              <w:jc w:val="center"/>
              <w:rPr>
                <w:rFonts w:eastAsia="宋体" w:cs="Times New Roman"/>
                <w:color w:val="000000"/>
                <w:sz w:val="18"/>
                <w:szCs w:val="18"/>
              </w:rPr>
            </w:pPr>
          </w:p>
        </w:tc>
      </w:tr>
      <w:tr w:rsidR="00F0566E" w14:paraId="7A90E1D4" w14:textId="77777777">
        <w:trPr>
          <w:trHeight w:val="318"/>
        </w:trPr>
        <w:tc>
          <w:tcPr>
            <w:tcW w:w="686" w:type="dxa"/>
            <w:gridSpan w:val="2"/>
            <w:vMerge/>
            <w:tcBorders>
              <w:top w:val="nil"/>
              <w:left w:val="single" w:sz="4" w:space="0" w:color="000000"/>
              <w:bottom w:val="single" w:sz="4" w:space="0" w:color="000000"/>
              <w:right w:val="single" w:sz="4" w:space="0" w:color="000000"/>
            </w:tcBorders>
            <w:shd w:val="clear" w:color="auto" w:fill="auto"/>
            <w:vAlign w:val="center"/>
          </w:tcPr>
          <w:p w14:paraId="1E836F97" w14:textId="77777777" w:rsidR="00F0566E" w:rsidRDefault="00F0566E">
            <w:pPr>
              <w:rPr>
                <w:rFonts w:cs="Times New Roman"/>
                <w:sz w:val="20"/>
                <w:szCs w:val="20"/>
              </w:rPr>
            </w:pPr>
          </w:p>
        </w:tc>
        <w:tc>
          <w:tcPr>
            <w:tcW w:w="2301" w:type="dxa"/>
            <w:gridSpan w:val="2"/>
            <w:tcBorders>
              <w:top w:val="single" w:sz="4" w:space="0" w:color="000000"/>
              <w:left w:val="nil"/>
              <w:bottom w:val="single" w:sz="4" w:space="0" w:color="000000"/>
              <w:right w:val="single" w:sz="4" w:space="0" w:color="000000"/>
            </w:tcBorders>
            <w:shd w:val="clear" w:color="auto" w:fill="auto"/>
            <w:vAlign w:val="center"/>
          </w:tcPr>
          <w:p w14:paraId="335CAB3B"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政府性基金预算本级资金</w:t>
            </w:r>
          </w:p>
        </w:tc>
        <w:tc>
          <w:tcPr>
            <w:tcW w:w="1395" w:type="dxa"/>
            <w:tcBorders>
              <w:top w:val="single" w:sz="4" w:space="0" w:color="000000"/>
              <w:left w:val="nil"/>
              <w:bottom w:val="single" w:sz="4" w:space="0" w:color="000000"/>
              <w:right w:val="single" w:sz="4" w:space="0" w:color="000000"/>
            </w:tcBorders>
            <w:shd w:val="clear" w:color="auto" w:fill="auto"/>
            <w:vAlign w:val="center"/>
          </w:tcPr>
          <w:p w14:paraId="0521B2D4" w14:textId="77777777" w:rsidR="00F0566E" w:rsidRDefault="00F0566E">
            <w:pPr>
              <w:widowControl/>
              <w:rPr>
                <w:rFonts w:eastAsia="宋体" w:cs="Times New Roman"/>
                <w:color w:val="000000"/>
                <w:sz w:val="18"/>
                <w:szCs w:val="18"/>
              </w:rPr>
            </w:pPr>
          </w:p>
        </w:tc>
        <w:tc>
          <w:tcPr>
            <w:tcW w:w="1336" w:type="dxa"/>
            <w:tcBorders>
              <w:top w:val="single" w:sz="4" w:space="0" w:color="000000"/>
              <w:left w:val="nil"/>
              <w:bottom w:val="single" w:sz="4" w:space="0" w:color="000000"/>
              <w:right w:val="single" w:sz="4" w:space="0" w:color="000000"/>
            </w:tcBorders>
            <w:shd w:val="clear" w:color="auto" w:fill="auto"/>
            <w:vAlign w:val="center"/>
          </w:tcPr>
          <w:p w14:paraId="78D631EC" w14:textId="77777777" w:rsidR="00F0566E" w:rsidRDefault="00F0566E">
            <w:pPr>
              <w:widowControl/>
              <w:rPr>
                <w:rFonts w:eastAsia="宋体" w:cs="Times New Roman"/>
                <w:color w:val="000000"/>
                <w:sz w:val="18"/>
                <w:szCs w:val="18"/>
              </w:rPr>
            </w:pPr>
          </w:p>
        </w:tc>
        <w:tc>
          <w:tcPr>
            <w:tcW w:w="1038" w:type="dxa"/>
            <w:gridSpan w:val="2"/>
            <w:tcBorders>
              <w:top w:val="single" w:sz="4" w:space="0" w:color="000000"/>
              <w:left w:val="nil"/>
              <w:bottom w:val="single" w:sz="4" w:space="0" w:color="000000"/>
              <w:right w:val="single" w:sz="4" w:space="0" w:color="000000"/>
            </w:tcBorders>
            <w:shd w:val="clear" w:color="auto" w:fill="auto"/>
            <w:vAlign w:val="center"/>
          </w:tcPr>
          <w:p w14:paraId="4C4632CE" w14:textId="77777777" w:rsidR="00F0566E" w:rsidRDefault="00F0566E">
            <w:pPr>
              <w:widowControl/>
              <w:rPr>
                <w:rFonts w:eastAsia="宋体" w:cs="Times New Roman"/>
                <w:color w:val="000000"/>
                <w:sz w:val="18"/>
                <w:szCs w:val="18"/>
              </w:rPr>
            </w:pPr>
          </w:p>
        </w:tc>
        <w:tc>
          <w:tcPr>
            <w:tcW w:w="2256" w:type="dxa"/>
            <w:tcBorders>
              <w:top w:val="single" w:sz="4" w:space="0" w:color="000000"/>
              <w:left w:val="nil"/>
              <w:bottom w:val="single" w:sz="4" w:space="0" w:color="000000"/>
              <w:right w:val="single" w:sz="4" w:space="0" w:color="000000"/>
            </w:tcBorders>
            <w:shd w:val="clear" w:color="auto" w:fill="auto"/>
            <w:vAlign w:val="center"/>
          </w:tcPr>
          <w:p w14:paraId="3C17DD48" w14:textId="77777777" w:rsidR="00F0566E" w:rsidRDefault="00F0566E">
            <w:pPr>
              <w:widowControl/>
              <w:jc w:val="center"/>
              <w:rPr>
                <w:rFonts w:eastAsia="宋体" w:cs="Times New Roman"/>
                <w:color w:val="000000"/>
                <w:sz w:val="18"/>
                <w:szCs w:val="18"/>
              </w:rPr>
            </w:pPr>
          </w:p>
        </w:tc>
      </w:tr>
      <w:tr w:rsidR="00F0566E" w14:paraId="0FBCECC4" w14:textId="77777777">
        <w:trPr>
          <w:trHeight w:val="318"/>
        </w:trPr>
        <w:tc>
          <w:tcPr>
            <w:tcW w:w="686" w:type="dxa"/>
            <w:gridSpan w:val="2"/>
            <w:vMerge/>
            <w:tcBorders>
              <w:top w:val="nil"/>
              <w:left w:val="single" w:sz="4" w:space="0" w:color="000000"/>
              <w:bottom w:val="single" w:sz="4" w:space="0" w:color="000000"/>
              <w:right w:val="single" w:sz="4" w:space="0" w:color="000000"/>
            </w:tcBorders>
            <w:shd w:val="clear" w:color="auto" w:fill="auto"/>
            <w:vAlign w:val="center"/>
          </w:tcPr>
          <w:p w14:paraId="23347795" w14:textId="77777777" w:rsidR="00F0566E" w:rsidRDefault="00F0566E">
            <w:pPr>
              <w:rPr>
                <w:rFonts w:cs="Times New Roman"/>
                <w:sz w:val="20"/>
                <w:szCs w:val="20"/>
              </w:rPr>
            </w:pPr>
          </w:p>
        </w:tc>
        <w:tc>
          <w:tcPr>
            <w:tcW w:w="2301" w:type="dxa"/>
            <w:gridSpan w:val="2"/>
            <w:tcBorders>
              <w:top w:val="single" w:sz="4" w:space="0" w:color="000000"/>
              <w:left w:val="nil"/>
              <w:bottom w:val="single" w:sz="4" w:space="0" w:color="000000"/>
              <w:right w:val="single" w:sz="4" w:space="0" w:color="000000"/>
            </w:tcBorders>
            <w:shd w:val="clear" w:color="auto" w:fill="auto"/>
            <w:vAlign w:val="center"/>
          </w:tcPr>
          <w:p w14:paraId="2EDC4275"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政府性基金预算上级资金</w:t>
            </w:r>
          </w:p>
        </w:tc>
        <w:tc>
          <w:tcPr>
            <w:tcW w:w="1395" w:type="dxa"/>
            <w:tcBorders>
              <w:top w:val="single" w:sz="4" w:space="0" w:color="000000"/>
              <w:left w:val="nil"/>
              <w:bottom w:val="single" w:sz="4" w:space="0" w:color="000000"/>
              <w:right w:val="single" w:sz="4" w:space="0" w:color="000000"/>
            </w:tcBorders>
            <w:shd w:val="clear" w:color="auto" w:fill="auto"/>
            <w:vAlign w:val="center"/>
          </w:tcPr>
          <w:p w14:paraId="52EE463D" w14:textId="77777777" w:rsidR="00F0566E" w:rsidRDefault="00F0566E">
            <w:pPr>
              <w:widowControl/>
              <w:rPr>
                <w:rFonts w:eastAsia="宋体" w:cs="Times New Roman"/>
                <w:color w:val="000000"/>
                <w:sz w:val="18"/>
                <w:szCs w:val="18"/>
              </w:rPr>
            </w:pPr>
          </w:p>
        </w:tc>
        <w:tc>
          <w:tcPr>
            <w:tcW w:w="1336" w:type="dxa"/>
            <w:tcBorders>
              <w:top w:val="single" w:sz="4" w:space="0" w:color="000000"/>
              <w:left w:val="nil"/>
              <w:bottom w:val="single" w:sz="4" w:space="0" w:color="000000"/>
              <w:right w:val="single" w:sz="4" w:space="0" w:color="000000"/>
            </w:tcBorders>
            <w:shd w:val="clear" w:color="auto" w:fill="auto"/>
            <w:vAlign w:val="center"/>
          </w:tcPr>
          <w:p w14:paraId="1A0973CB" w14:textId="77777777" w:rsidR="00F0566E" w:rsidRDefault="00F0566E">
            <w:pPr>
              <w:widowControl/>
              <w:rPr>
                <w:rFonts w:eastAsia="宋体" w:cs="Times New Roman"/>
                <w:color w:val="000000"/>
                <w:sz w:val="18"/>
                <w:szCs w:val="18"/>
              </w:rPr>
            </w:pPr>
          </w:p>
        </w:tc>
        <w:tc>
          <w:tcPr>
            <w:tcW w:w="1038" w:type="dxa"/>
            <w:gridSpan w:val="2"/>
            <w:tcBorders>
              <w:top w:val="single" w:sz="4" w:space="0" w:color="000000"/>
              <w:left w:val="nil"/>
              <w:bottom w:val="single" w:sz="4" w:space="0" w:color="000000"/>
              <w:right w:val="single" w:sz="4" w:space="0" w:color="000000"/>
            </w:tcBorders>
            <w:shd w:val="clear" w:color="auto" w:fill="auto"/>
            <w:vAlign w:val="center"/>
          </w:tcPr>
          <w:p w14:paraId="77AC0038" w14:textId="77777777" w:rsidR="00F0566E" w:rsidRDefault="00F0566E">
            <w:pPr>
              <w:widowControl/>
              <w:rPr>
                <w:rFonts w:eastAsia="宋体" w:cs="Times New Roman"/>
                <w:color w:val="000000"/>
                <w:sz w:val="18"/>
                <w:szCs w:val="18"/>
              </w:rPr>
            </w:pPr>
          </w:p>
        </w:tc>
        <w:tc>
          <w:tcPr>
            <w:tcW w:w="2256" w:type="dxa"/>
            <w:tcBorders>
              <w:top w:val="single" w:sz="4" w:space="0" w:color="000000"/>
              <w:left w:val="nil"/>
              <w:bottom w:val="single" w:sz="4" w:space="0" w:color="000000"/>
              <w:right w:val="single" w:sz="4" w:space="0" w:color="000000"/>
            </w:tcBorders>
            <w:shd w:val="clear" w:color="auto" w:fill="auto"/>
            <w:vAlign w:val="center"/>
          </w:tcPr>
          <w:p w14:paraId="1C915D81" w14:textId="77777777" w:rsidR="00F0566E" w:rsidRDefault="00F0566E">
            <w:pPr>
              <w:widowControl/>
              <w:jc w:val="center"/>
              <w:rPr>
                <w:rFonts w:eastAsia="宋体" w:cs="Times New Roman"/>
                <w:color w:val="000000"/>
                <w:sz w:val="18"/>
                <w:szCs w:val="18"/>
              </w:rPr>
            </w:pPr>
          </w:p>
        </w:tc>
      </w:tr>
      <w:tr w:rsidR="00F0566E" w14:paraId="4236D64A" w14:textId="77777777">
        <w:trPr>
          <w:trHeight w:val="318"/>
        </w:trPr>
        <w:tc>
          <w:tcPr>
            <w:tcW w:w="686" w:type="dxa"/>
            <w:gridSpan w:val="2"/>
            <w:vMerge/>
            <w:tcBorders>
              <w:top w:val="nil"/>
              <w:left w:val="single" w:sz="4" w:space="0" w:color="000000"/>
              <w:bottom w:val="single" w:sz="4" w:space="0" w:color="000000"/>
              <w:right w:val="single" w:sz="4" w:space="0" w:color="000000"/>
            </w:tcBorders>
            <w:shd w:val="clear" w:color="auto" w:fill="auto"/>
            <w:vAlign w:val="center"/>
          </w:tcPr>
          <w:p w14:paraId="5DD3D8F1" w14:textId="77777777" w:rsidR="00F0566E" w:rsidRDefault="00F0566E">
            <w:pPr>
              <w:rPr>
                <w:rFonts w:cs="Times New Roman"/>
                <w:sz w:val="20"/>
                <w:szCs w:val="20"/>
              </w:rPr>
            </w:pPr>
          </w:p>
        </w:tc>
        <w:tc>
          <w:tcPr>
            <w:tcW w:w="2301" w:type="dxa"/>
            <w:gridSpan w:val="2"/>
            <w:tcBorders>
              <w:top w:val="single" w:sz="4" w:space="0" w:color="000000"/>
              <w:left w:val="nil"/>
              <w:bottom w:val="single" w:sz="4" w:space="0" w:color="000000"/>
              <w:right w:val="single" w:sz="4" w:space="0" w:color="000000"/>
            </w:tcBorders>
            <w:shd w:val="clear" w:color="auto" w:fill="auto"/>
            <w:vAlign w:val="center"/>
          </w:tcPr>
          <w:p w14:paraId="2336892B" w14:textId="77777777" w:rsidR="00F0566E" w:rsidRDefault="00000000">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w:t>
            </w:r>
          </w:p>
        </w:tc>
        <w:tc>
          <w:tcPr>
            <w:tcW w:w="1395" w:type="dxa"/>
            <w:tcBorders>
              <w:top w:val="single" w:sz="4" w:space="0" w:color="000000"/>
              <w:left w:val="nil"/>
              <w:bottom w:val="single" w:sz="4" w:space="0" w:color="000000"/>
              <w:right w:val="single" w:sz="4" w:space="0" w:color="000000"/>
            </w:tcBorders>
            <w:shd w:val="clear" w:color="auto" w:fill="auto"/>
            <w:vAlign w:val="center"/>
          </w:tcPr>
          <w:p w14:paraId="7E38F482" w14:textId="77777777" w:rsidR="00F0566E" w:rsidRDefault="00F0566E">
            <w:pPr>
              <w:widowControl/>
              <w:rPr>
                <w:rFonts w:eastAsia="宋体" w:cs="Times New Roman"/>
                <w:color w:val="000000"/>
                <w:sz w:val="18"/>
                <w:szCs w:val="18"/>
              </w:rPr>
            </w:pPr>
          </w:p>
        </w:tc>
        <w:tc>
          <w:tcPr>
            <w:tcW w:w="1336" w:type="dxa"/>
            <w:tcBorders>
              <w:top w:val="single" w:sz="4" w:space="0" w:color="000000"/>
              <w:left w:val="nil"/>
              <w:bottom w:val="single" w:sz="4" w:space="0" w:color="000000"/>
              <w:right w:val="single" w:sz="4" w:space="0" w:color="000000"/>
            </w:tcBorders>
            <w:shd w:val="clear" w:color="auto" w:fill="auto"/>
            <w:vAlign w:val="center"/>
          </w:tcPr>
          <w:p w14:paraId="6A0920C6" w14:textId="77777777" w:rsidR="00F0566E" w:rsidRDefault="00F0566E">
            <w:pPr>
              <w:widowControl/>
              <w:rPr>
                <w:rFonts w:eastAsia="宋体" w:cs="Times New Roman"/>
                <w:color w:val="000000"/>
                <w:sz w:val="18"/>
                <w:szCs w:val="18"/>
              </w:rPr>
            </w:pPr>
          </w:p>
        </w:tc>
        <w:tc>
          <w:tcPr>
            <w:tcW w:w="1038" w:type="dxa"/>
            <w:gridSpan w:val="2"/>
            <w:tcBorders>
              <w:top w:val="single" w:sz="4" w:space="0" w:color="000000"/>
              <w:left w:val="nil"/>
              <w:bottom w:val="single" w:sz="4" w:space="0" w:color="000000"/>
              <w:right w:val="single" w:sz="4" w:space="0" w:color="000000"/>
            </w:tcBorders>
            <w:shd w:val="clear" w:color="auto" w:fill="auto"/>
            <w:vAlign w:val="center"/>
          </w:tcPr>
          <w:p w14:paraId="7B3B4E60" w14:textId="77777777" w:rsidR="00F0566E" w:rsidRDefault="00F0566E">
            <w:pPr>
              <w:widowControl/>
              <w:rPr>
                <w:rFonts w:eastAsia="宋体" w:cs="Times New Roman"/>
                <w:color w:val="000000"/>
                <w:sz w:val="18"/>
                <w:szCs w:val="18"/>
              </w:rPr>
            </w:pPr>
          </w:p>
        </w:tc>
        <w:tc>
          <w:tcPr>
            <w:tcW w:w="2256" w:type="dxa"/>
            <w:tcBorders>
              <w:top w:val="single" w:sz="4" w:space="0" w:color="000000"/>
              <w:left w:val="nil"/>
              <w:bottom w:val="single" w:sz="4" w:space="0" w:color="000000"/>
              <w:right w:val="single" w:sz="4" w:space="0" w:color="000000"/>
            </w:tcBorders>
            <w:shd w:val="clear" w:color="auto" w:fill="auto"/>
            <w:vAlign w:val="center"/>
          </w:tcPr>
          <w:p w14:paraId="2D3AC225" w14:textId="77777777" w:rsidR="00F0566E" w:rsidRDefault="00F0566E">
            <w:pPr>
              <w:widowControl/>
              <w:jc w:val="center"/>
              <w:rPr>
                <w:rFonts w:eastAsia="宋体" w:cs="Times New Roman"/>
                <w:color w:val="000000"/>
                <w:sz w:val="18"/>
                <w:szCs w:val="18"/>
              </w:rPr>
            </w:pPr>
          </w:p>
        </w:tc>
      </w:tr>
      <w:tr w:rsidR="00F0566E" w14:paraId="34046748" w14:textId="77777777">
        <w:trPr>
          <w:trHeight w:val="369"/>
        </w:trPr>
        <w:tc>
          <w:tcPr>
            <w:tcW w:w="686" w:type="dxa"/>
            <w:gridSpan w:val="2"/>
            <w:vMerge/>
            <w:tcBorders>
              <w:top w:val="nil"/>
              <w:left w:val="single" w:sz="4" w:space="0" w:color="000000"/>
              <w:bottom w:val="single" w:sz="4" w:space="0" w:color="000000"/>
              <w:right w:val="single" w:sz="4" w:space="0" w:color="000000"/>
            </w:tcBorders>
            <w:shd w:val="clear" w:color="auto" w:fill="auto"/>
            <w:vAlign w:val="center"/>
          </w:tcPr>
          <w:p w14:paraId="4CC7AE59" w14:textId="77777777" w:rsidR="00F0566E" w:rsidRDefault="00F0566E">
            <w:pPr>
              <w:rPr>
                <w:rFonts w:cs="Times New Roman"/>
                <w:sz w:val="20"/>
                <w:szCs w:val="20"/>
              </w:rPr>
            </w:pPr>
          </w:p>
        </w:tc>
        <w:tc>
          <w:tcPr>
            <w:tcW w:w="2301" w:type="dxa"/>
            <w:gridSpan w:val="2"/>
            <w:tcBorders>
              <w:top w:val="single" w:sz="4" w:space="0" w:color="000000"/>
              <w:left w:val="nil"/>
              <w:bottom w:val="single" w:sz="4" w:space="0" w:color="000000"/>
              <w:right w:val="single" w:sz="4" w:space="0" w:color="000000"/>
            </w:tcBorders>
            <w:shd w:val="clear" w:color="auto" w:fill="auto"/>
            <w:vAlign w:val="center"/>
          </w:tcPr>
          <w:p w14:paraId="23786187"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其他资金</w:t>
            </w:r>
          </w:p>
        </w:tc>
        <w:tc>
          <w:tcPr>
            <w:tcW w:w="1395" w:type="dxa"/>
            <w:tcBorders>
              <w:top w:val="single" w:sz="4" w:space="0" w:color="000000"/>
              <w:left w:val="nil"/>
              <w:bottom w:val="single" w:sz="4" w:space="0" w:color="000000"/>
              <w:right w:val="single" w:sz="4" w:space="0" w:color="000000"/>
            </w:tcBorders>
            <w:shd w:val="clear" w:color="auto" w:fill="auto"/>
            <w:vAlign w:val="center"/>
          </w:tcPr>
          <w:p w14:paraId="5C423FAC" w14:textId="77777777" w:rsidR="00F0566E" w:rsidRDefault="00F0566E">
            <w:pPr>
              <w:widowControl/>
              <w:rPr>
                <w:rFonts w:eastAsia="宋体" w:cs="Times New Roman"/>
                <w:color w:val="000000"/>
                <w:sz w:val="18"/>
                <w:szCs w:val="18"/>
              </w:rPr>
            </w:pPr>
          </w:p>
        </w:tc>
        <w:tc>
          <w:tcPr>
            <w:tcW w:w="1336" w:type="dxa"/>
            <w:tcBorders>
              <w:top w:val="single" w:sz="4" w:space="0" w:color="000000"/>
              <w:left w:val="nil"/>
              <w:bottom w:val="single" w:sz="4" w:space="0" w:color="000000"/>
              <w:right w:val="single" w:sz="4" w:space="0" w:color="000000"/>
            </w:tcBorders>
            <w:shd w:val="clear" w:color="auto" w:fill="auto"/>
            <w:vAlign w:val="center"/>
          </w:tcPr>
          <w:p w14:paraId="74919C32" w14:textId="77777777" w:rsidR="00F0566E" w:rsidRDefault="00F0566E">
            <w:pPr>
              <w:widowControl/>
              <w:rPr>
                <w:rFonts w:eastAsia="宋体" w:cs="Times New Roman"/>
                <w:color w:val="000000"/>
                <w:sz w:val="18"/>
                <w:szCs w:val="18"/>
              </w:rPr>
            </w:pPr>
          </w:p>
        </w:tc>
        <w:tc>
          <w:tcPr>
            <w:tcW w:w="1038" w:type="dxa"/>
            <w:gridSpan w:val="2"/>
            <w:tcBorders>
              <w:top w:val="single" w:sz="4" w:space="0" w:color="000000"/>
              <w:left w:val="nil"/>
              <w:bottom w:val="single" w:sz="4" w:space="0" w:color="000000"/>
              <w:right w:val="single" w:sz="4" w:space="0" w:color="000000"/>
            </w:tcBorders>
            <w:shd w:val="clear" w:color="auto" w:fill="auto"/>
            <w:vAlign w:val="center"/>
          </w:tcPr>
          <w:p w14:paraId="11222DE4" w14:textId="77777777" w:rsidR="00F0566E" w:rsidRDefault="00F0566E">
            <w:pPr>
              <w:widowControl/>
              <w:rPr>
                <w:rFonts w:eastAsia="宋体" w:cs="Times New Roman"/>
                <w:color w:val="000000"/>
                <w:sz w:val="18"/>
                <w:szCs w:val="18"/>
              </w:rPr>
            </w:pPr>
          </w:p>
        </w:tc>
        <w:tc>
          <w:tcPr>
            <w:tcW w:w="2256" w:type="dxa"/>
            <w:tcBorders>
              <w:top w:val="single" w:sz="4" w:space="0" w:color="000000"/>
              <w:left w:val="nil"/>
              <w:bottom w:val="single" w:sz="4" w:space="0" w:color="000000"/>
              <w:right w:val="single" w:sz="4" w:space="0" w:color="000000"/>
            </w:tcBorders>
            <w:shd w:val="clear" w:color="auto" w:fill="auto"/>
            <w:vAlign w:val="center"/>
          </w:tcPr>
          <w:p w14:paraId="674743E4" w14:textId="77777777" w:rsidR="00F0566E" w:rsidRDefault="00F0566E">
            <w:pPr>
              <w:widowControl/>
              <w:jc w:val="center"/>
              <w:rPr>
                <w:rFonts w:eastAsia="宋体" w:cs="Times New Roman"/>
                <w:color w:val="000000"/>
                <w:sz w:val="18"/>
                <w:szCs w:val="18"/>
              </w:rPr>
            </w:pPr>
          </w:p>
        </w:tc>
      </w:tr>
      <w:tr w:rsidR="00F0566E" w14:paraId="2F075880" w14:textId="77777777">
        <w:trPr>
          <w:trHeight w:val="352"/>
        </w:trPr>
        <w:tc>
          <w:tcPr>
            <w:tcW w:w="686"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27FB0CC0"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年度总</w:t>
            </w:r>
            <w:r>
              <w:rPr>
                <w:rFonts w:ascii="宋体" w:eastAsia="宋体" w:hAnsi="宋体" w:cs="宋体" w:hint="eastAsia"/>
                <w:color w:val="000000"/>
                <w:kern w:val="0"/>
                <w:sz w:val="18"/>
                <w:szCs w:val="18"/>
                <w:lang w:bidi="ar"/>
              </w:rPr>
              <w:lastRenderedPageBreak/>
              <w:t>体目标</w:t>
            </w:r>
          </w:p>
        </w:tc>
        <w:tc>
          <w:tcPr>
            <w:tcW w:w="3696" w:type="dxa"/>
            <w:gridSpan w:val="3"/>
            <w:tcBorders>
              <w:top w:val="single" w:sz="4" w:space="0" w:color="000000"/>
              <w:left w:val="nil"/>
              <w:bottom w:val="single" w:sz="4" w:space="0" w:color="000000"/>
              <w:right w:val="single" w:sz="4" w:space="0" w:color="000000"/>
            </w:tcBorders>
            <w:shd w:val="clear" w:color="auto" w:fill="auto"/>
            <w:vAlign w:val="center"/>
          </w:tcPr>
          <w:p w14:paraId="6524E230"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预期目标</w:t>
            </w:r>
          </w:p>
        </w:tc>
        <w:tc>
          <w:tcPr>
            <w:tcW w:w="4630" w:type="dxa"/>
            <w:gridSpan w:val="4"/>
            <w:tcBorders>
              <w:top w:val="single" w:sz="4" w:space="0" w:color="000000"/>
              <w:left w:val="nil"/>
              <w:bottom w:val="single" w:sz="4" w:space="0" w:color="000000"/>
              <w:right w:val="single" w:sz="4" w:space="0" w:color="000000"/>
            </w:tcBorders>
            <w:shd w:val="clear" w:color="auto" w:fill="auto"/>
            <w:vAlign w:val="center"/>
          </w:tcPr>
          <w:p w14:paraId="53062D5E"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实际完成情况</w:t>
            </w:r>
          </w:p>
        </w:tc>
      </w:tr>
      <w:tr w:rsidR="00F0566E" w14:paraId="25D2D5A2" w14:textId="77777777">
        <w:trPr>
          <w:trHeight w:val="1768"/>
        </w:trPr>
        <w:tc>
          <w:tcPr>
            <w:tcW w:w="686" w:type="dxa"/>
            <w:gridSpan w:val="2"/>
            <w:vMerge/>
            <w:tcBorders>
              <w:top w:val="nil"/>
              <w:left w:val="single" w:sz="4" w:space="0" w:color="000000"/>
              <w:bottom w:val="single" w:sz="4" w:space="0" w:color="000000"/>
              <w:right w:val="single" w:sz="4" w:space="0" w:color="000000"/>
            </w:tcBorders>
            <w:shd w:val="clear" w:color="auto" w:fill="auto"/>
            <w:vAlign w:val="center"/>
          </w:tcPr>
          <w:p w14:paraId="47DAE8D0" w14:textId="77777777" w:rsidR="00F0566E" w:rsidRDefault="00F0566E">
            <w:pPr>
              <w:rPr>
                <w:rFonts w:cs="Times New Roman"/>
                <w:sz w:val="20"/>
                <w:szCs w:val="20"/>
              </w:rPr>
            </w:pPr>
          </w:p>
        </w:tc>
        <w:tc>
          <w:tcPr>
            <w:tcW w:w="3696" w:type="dxa"/>
            <w:gridSpan w:val="3"/>
            <w:tcBorders>
              <w:top w:val="single" w:sz="4" w:space="0" w:color="000000"/>
              <w:left w:val="nil"/>
              <w:bottom w:val="single" w:sz="4" w:space="0" w:color="000000"/>
              <w:right w:val="single" w:sz="4" w:space="0" w:color="000000"/>
            </w:tcBorders>
            <w:shd w:val="clear" w:color="auto" w:fill="auto"/>
            <w:vAlign w:val="center"/>
          </w:tcPr>
          <w:p w14:paraId="342243E3" w14:textId="77777777" w:rsidR="00F0566E" w:rsidRDefault="00000000">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对全市登记入库的在用场（厂）车进行统一安装叉车智慧监管系统，应用科技手段，形成智慧监管，有效预防和遏制事故发生；2、切实保障市场监管各项工作的正常开展，更好地履行我局公共管理职能，向广大市场主体提供更优质的服务，构建稳定有序的市场监管格局。</w:t>
            </w:r>
          </w:p>
        </w:tc>
        <w:tc>
          <w:tcPr>
            <w:tcW w:w="4630" w:type="dxa"/>
            <w:gridSpan w:val="4"/>
            <w:tcBorders>
              <w:top w:val="single" w:sz="4" w:space="0" w:color="000000"/>
              <w:left w:val="nil"/>
              <w:bottom w:val="single" w:sz="4" w:space="0" w:color="000000"/>
              <w:right w:val="single" w:sz="4" w:space="0" w:color="000000"/>
            </w:tcBorders>
            <w:shd w:val="clear" w:color="auto" w:fill="auto"/>
            <w:vAlign w:val="center"/>
          </w:tcPr>
          <w:p w14:paraId="21932A84" w14:textId="77777777" w:rsidR="00F0566E" w:rsidRDefault="00000000">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按照要求完成全市登记入库的在用场（厂）车进行统一安装叉车智慧监管系统，应用科技手段，形成智慧监管，有效预防和遏制事故发生；切实保障市场监管各项工作的正常开展，更好地履行我局公共管理职能，向广大市场主体提供更优质的服务，构建稳定有序的市场监管格局。</w:t>
            </w:r>
          </w:p>
        </w:tc>
      </w:tr>
      <w:tr w:rsidR="00F0566E" w14:paraId="69421DFA" w14:textId="77777777">
        <w:trPr>
          <w:trHeight w:val="454"/>
        </w:trPr>
        <w:tc>
          <w:tcPr>
            <w:tcW w:w="343" w:type="dxa"/>
            <w:vMerge w:val="restart"/>
            <w:tcBorders>
              <w:top w:val="nil"/>
              <w:left w:val="single" w:sz="4" w:space="0" w:color="000000"/>
              <w:bottom w:val="single" w:sz="4" w:space="0" w:color="000000"/>
              <w:right w:val="single" w:sz="4" w:space="0" w:color="000000"/>
            </w:tcBorders>
            <w:shd w:val="clear" w:color="auto" w:fill="auto"/>
            <w:vAlign w:val="center"/>
          </w:tcPr>
          <w:p w14:paraId="245A6CDD" w14:textId="77777777" w:rsidR="00F0566E" w:rsidRDefault="00000000">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绩效指标100分</w:t>
            </w:r>
          </w:p>
        </w:tc>
        <w:tc>
          <w:tcPr>
            <w:tcW w:w="343" w:type="dxa"/>
            <w:tcBorders>
              <w:top w:val="single" w:sz="4" w:space="0" w:color="000000"/>
              <w:left w:val="nil"/>
              <w:bottom w:val="single" w:sz="4" w:space="0" w:color="000000"/>
              <w:right w:val="single" w:sz="4" w:space="0" w:color="000000"/>
            </w:tcBorders>
            <w:shd w:val="clear" w:color="auto" w:fill="auto"/>
            <w:vAlign w:val="center"/>
          </w:tcPr>
          <w:p w14:paraId="3C0F18ED" w14:textId="77777777" w:rsidR="00F0566E" w:rsidRDefault="00000000">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一级指标</w:t>
            </w:r>
          </w:p>
        </w:tc>
        <w:tc>
          <w:tcPr>
            <w:tcW w:w="376" w:type="dxa"/>
            <w:tcBorders>
              <w:top w:val="single" w:sz="4" w:space="0" w:color="000000"/>
              <w:left w:val="nil"/>
              <w:bottom w:val="single" w:sz="4" w:space="0" w:color="000000"/>
              <w:right w:val="single" w:sz="4" w:space="0" w:color="000000"/>
            </w:tcBorders>
            <w:shd w:val="clear" w:color="auto" w:fill="auto"/>
            <w:vAlign w:val="center"/>
          </w:tcPr>
          <w:p w14:paraId="2A3C103E" w14:textId="77777777" w:rsidR="00F0566E" w:rsidRDefault="00000000">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二级指标</w:t>
            </w:r>
          </w:p>
        </w:tc>
        <w:tc>
          <w:tcPr>
            <w:tcW w:w="1925" w:type="dxa"/>
            <w:tcBorders>
              <w:top w:val="single" w:sz="4" w:space="0" w:color="000000"/>
              <w:left w:val="nil"/>
              <w:bottom w:val="single" w:sz="4" w:space="0" w:color="000000"/>
              <w:right w:val="single" w:sz="4" w:space="0" w:color="000000"/>
            </w:tcBorders>
            <w:shd w:val="clear" w:color="auto" w:fill="auto"/>
            <w:vAlign w:val="center"/>
          </w:tcPr>
          <w:p w14:paraId="5D47F3B0"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三级指标</w:t>
            </w:r>
          </w:p>
        </w:tc>
        <w:tc>
          <w:tcPr>
            <w:tcW w:w="1395" w:type="dxa"/>
            <w:tcBorders>
              <w:top w:val="single" w:sz="4" w:space="0" w:color="000000"/>
              <w:left w:val="nil"/>
              <w:bottom w:val="single" w:sz="4" w:space="0" w:color="000000"/>
              <w:right w:val="single" w:sz="4" w:space="0" w:color="000000"/>
            </w:tcBorders>
            <w:shd w:val="clear" w:color="auto" w:fill="auto"/>
            <w:vAlign w:val="center"/>
          </w:tcPr>
          <w:p w14:paraId="2C5C869F"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年度指标值</w:t>
            </w:r>
          </w:p>
        </w:tc>
        <w:tc>
          <w:tcPr>
            <w:tcW w:w="1336" w:type="dxa"/>
            <w:tcBorders>
              <w:top w:val="single" w:sz="4" w:space="0" w:color="000000"/>
              <w:left w:val="nil"/>
              <w:bottom w:val="single" w:sz="4" w:space="0" w:color="000000"/>
              <w:right w:val="single" w:sz="4" w:space="0" w:color="000000"/>
            </w:tcBorders>
            <w:shd w:val="clear" w:color="auto" w:fill="auto"/>
            <w:vAlign w:val="center"/>
          </w:tcPr>
          <w:p w14:paraId="74A559E0"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实际完成值</w:t>
            </w:r>
          </w:p>
        </w:tc>
        <w:tc>
          <w:tcPr>
            <w:tcW w:w="519" w:type="dxa"/>
            <w:tcBorders>
              <w:top w:val="single" w:sz="4" w:space="0" w:color="000000"/>
              <w:left w:val="nil"/>
              <w:bottom w:val="single" w:sz="4" w:space="0" w:color="000000"/>
              <w:right w:val="single" w:sz="4" w:space="0" w:color="000000"/>
            </w:tcBorders>
            <w:shd w:val="clear" w:color="auto" w:fill="auto"/>
            <w:vAlign w:val="center"/>
          </w:tcPr>
          <w:p w14:paraId="0675D798"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权重</w:t>
            </w:r>
          </w:p>
        </w:tc>
        <w:tc>
          <w:tcPr>
            <w:tcW w:w="519" w:type="dxa"/>
            <w:tcBorders>
              <w:top w:val="single" w:sz="4" w:space="0" w:color="000000"/>
              <w:left w:val="nil"/>
              <w:bottom w:val="single" w:sz="4" w:space="0" w:color="000000"/>
              <w:right w:val="single" w:sz="4" w:space="0" w:color="000000"/>
            </w:tcBorders>
            <w:shd w:val="clear" w:color="auto" w:fill="auto"/>
            <w:vAlign w:val="center"/>
          </w:tcPr>
          <w:p w14:paraId="71DCA760"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得分</w:t>
            </w:r>
          </w:p>
        </w:tc>
        <w:tc>
          <w:tcPr>
            <w:tcW w:w="2256" w:type="dxa"/>
            <w:tcBorders>
              <w:top w:val="single" w:sz="4" w:space="0" w:color="000000"/>
              <w:left w:val="nil"/>
              <w:bottom w:val="single" w:sz="4" w:space="0" w:color="000000"/>
              <w:right w:val="single" w:sz="4" w:space="0" w:color="000000"/>
            </w:tcBorders>
            <w:shd w:val="clear" w:color="auto" w:fill="auto"/>
            <w:vAlign w:val="center"/>
          </w:tcPr>
          <w:p w14:paraId="390E00D1"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偏差原因分析及改进措施</w:t>
            </w:r>
          </w:p>
        </w:tc>
      </w:tr>
      <w:tr w:rsidR="00F0566E" w14:paraId="0C309402" w14:textId="77777777">
        <w:trPr>
          <w:trHeight w:val="625"/>
        </w:trPr>
        <w:tc>
          <w:tcPr>
            <w:tcW w:w="343" w:type="dxa"/>
            <w:vMerge/>
            <w:tcBorders>
              <w:top w:val="nil"/>
              <w:left w:val="single" w:sz="4" w:space="0" w:color="000000"/>
              <w:bottom w:val="single" w:sz="4" w:space="0" w:color="000000"/>
              <w:right w:val="single" w:sz="4" w:space="0" w:color="000000"/>
            </w:tcBorders>
            <w:shd w:val="clear" w:color="auto" w:fill="auto"/>
            <w:vAlign w:val="center"/>
          </w:tcPr>
          <w:p w14:paraId="2884E7AC" w14:textId="77777777" w:rsidR="00F0566E" w:rsidRDefault="00F0566E">
            <w:pPr>
              <w:rPr>
                <w:rFonts w:cs="Times New Roman"/>
                <w:sz w:val="20"/>
                <w:szCs w:val="20"/>
              </w:rPr>
            </w:pPr>
          </w:p>
        </w:tc>
        <w:tc>
          <w:tcPr>
            <w:tcW w:w="343" w:type="dxa"/>
            <w:vMerge w:val="restart"/>
            <w:tcBorders>
              <w:top w:val="nil"/>
              <w:left w:val="nil"/>
              <w:bottom w:val="nil"/>
              <w:right w:val="single" w:sz="4" w:space="0" w:color="000000"/>
            </w:tcBorders>
            <w:shd w:val="clear" w:color="auto" w:fill="auto"/>
            <w:vAlign w:val="center"/>
          </w:tcPr>
          <w:p w14:paraId="0DB881E3"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产出指标(50分)</w:t>
            </w:r>
          </w:p>
        </w:tc>
        <w:tc>
          <w:tcPr>
            <w:tcW w:w="376" w:type="dxa"/>
            <w:tcBorders>
              <w:top w:val="single" w:sz="4" w:space="0" w:color="000000"/>
              <w:left w:val="nil"/>
              <w:bottom w:val="nil"/>
              <w:right w:val="single" w:sz="4" w:space="0" w:color="000000"/>
            </w:tcBorders>
            <w:shd w:val="clear" w:color="auto" w:fill="auto"/>
            <w:vAlign w:val="center"/>
          </w:tcPr>
          <w:p w14:paraId="7A5B911E" w14:textId="77777777" w:rsidR="00F0566E" w:rsidRDefault="00000000">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数量指标</w:t>
            </w:r>
          </w:p>
        </w:tc>
        <w:tc>
          <w:tcPr>
            <w:tcW w:w="1925" w:type="dxa"/>
            <w:tcBorders>
              <w:top w:val="single" w:sz="4" w:space="0" w:color="000000"/>
              <w:left w:val="nil"/>
              <w:bottom w:val="single" w:sz="4" w:space="0" w:color="000000"/>
              <w:right w:val="single" w:sz="4" w:space="0" w:color="000000"/>
            </w:tcBorders>
            <w:shd w:val="clear" w:color="auto" w:fill="auto"/>
            <w:vAlign w:val="center"/>
          </w:tcPr>
          <w:p w14:paraId="25DB19D2" w14:textId="77777777" w:rsidR="00F0566E" w:rsidRDefault="00000000">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完成场（厂）车智慧监管系统及硬件安装数量</w:t>
            </w:r>
          </w:p>
        </w:tc>
        <w:tc>
          <w:tcPr>
            <w:tcW w:w="1395" w:type="dxa"/>
            <w:tcBorders>
              <w:top w:val="single" w:sz="4" w:space="0" w:color="000000"/>
              <w:left w:val="nil"/>
              <w:bottom w:val="single" w:sz="4" w:space="0" w:color="000000"/>
              <w:right w:val="single" w:sz="4" w:space="0" w:color="000000"/>
            </w:tcBorders>
            <w:shd w:val="clear" w:color="auto" w:fill="auto"/>
            <w:vAlign w:val="center"/>
          </w:tcPr>
          <w:p w14:paraId="617A52BF"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新安装600台</w:t>
            </w:r>
          </w:p>
        </w:tc>
        <w:tc>
          <w:tcPr>
            <w:tcW w:w="1336" w:type="dxa"/>
            <w:tcBorders>
              <w:top w:val="single" w:sz="4" w:space="0" w:color="000000"/>
              <w:left w:val="nil"/>
              <w:bottom w:val="single" w:sz="4" w:space="0" w:color="000000"/>
              <w:right w:val="single" w:sz="4" w:space="0" w:color="000000"/>
            </w:tcBorders>
            <w:shd w:val="clear" w:color="auto" w:fill="auto"/>
            <w:vAlign w:val="center"/>
          </w:tcPr>
          <w:p w14:paraId="2CC551D7" w14:textId="77777777" w:rsidR="00F0566E" w:rsidRDefault="00000000">
            <w:pPr>
              <w:widowControl/>
              <w:textAlignment w:val="center"/>
              <w:rPr>
                <w:rFonts w:eastAsia="宋体" w:cs="Times New Roman"/>
                <w:color w:val="000000"/>
                <w:sz w:val="18"/>
                <w:szCs w:val="18"/>
              </w:rPr>
            </w:pPr>
            <w:r>
              <w:rPr>
                <w:rFonts w:eastAsia="宋体" w:cs="Times New Roman"/>
                <w:color w:val="000000"/>
                <w:kern w:val="0"/>
                <w:sz w:val="18"/>
                <w:szCs w:val="18"/>
                <w:lang w:bidi="ar"/>
              </w:rPr>
              <w:t>610</w:t>
            </w:r>
            <w:r>
              <w:rPr>
                <w:rFonts w:ascii="宋体" w:eastAsia="宋体" w:hAnsi="宋体" w:cs="宋体" w:hint="eastAsia"/>
                <w:color w:val="000000"/>
                <w:kern w:val="0"/>
                <w:sz w:val="18"/>
                <w:szCs w:val="18"/>
                <w:lang w:bidi="ar"/>
              </w:rPr>
              <w:t>台</w:t>
            </w:r>
          </w:p>
        </w:tc>
        <w:tc>
          <w:tcPr>
            <w:tcW w:w="519" w:type="dxa"/>
            <w:tcBorders>
              <w:top w:val="single" w:sz="4" w:space="0" w:color="000000"/>
              <w:left w:val="nil"/>
              <w:bottom w:val="single" w:sz="4" w:space="0" w:color="000000"/>
              <w:right w:val="single" w:sz="4" w:space="0" w:color="000000"/>
            </w:tcBorders>
            <w:shd w:val="clear" w:color="auto" w:fill="auto"/>
            <w:vAlign w:val="center"/>
          </w:tcPr>
          <w:p w14:paraId="28E16086"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20</w:t>
            </w:r>
          </w:p>
        </w:tc>
        <w:tc>
          <w:tcPr>
            <w:tcW w:w="519" w:type="dxa"/>
            <w:tcBorders>
              <w:top w:val="single" w:sz="4" w:space="0" w:color="000000"/>
              <w:left w:val="nil"/>
              <w:bottom w:val="single" w:sz="4" w:space="0" w:color="000000"/>
              <w:right w:val="single" w:sz="4" w:space="0" w:color="000000"/>
            </w:tcBorders>
            <w:shd w:val="clear" w:color="auto" w:fill="auto"/>
            <w:vAlign w:val="center"/>
          </w:tcPr>
          <w:p w14:paraId="6940D017"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20</w:t>
            </w:r>
          </w:p>
        </w:tc>
        <w:tc>
          <w:tcPr>
            <w:tcW w:w="2256" w:type="dxa"/>
            <w:tcBorders>
              <w:top w:val="single" w:sz="4" w:space="0" w:color="000000"/>
              <w:left w:val="nil"/>
              <w:bottom w:val="single" w:sz="4" w:space="0" w:color="000000"/>
              <w:right w:val="single" w:sz="4" w:space="0" w:color="000000"/>
            </w:tcBorders>
            <w:shd w:val="clear" w:color="auto" w:fill="auto"/>
            <w:vAlign w:val="center"/>
          </w:tcPr>
          <w:p w14:paraId="767BF345" w14:textId="77777777" w:rsidR="00F0566E" w:rsidRDefault="00F0566E">
            <w:pPr>
              <w:widowControl/>
              <w:jc w:val="center"/>
              <w:rPr>
                <w:rFonts w:eastAsia="宋体" w:cs="Times New Roman"/>
                <w:color w:val="000000"/>
                <w:sz w:val="18"/>
                <w:szCs w:val="18"/>
              </w:rPr>
            </w:pPr>
          </w:p>
        </w:tc>
      </w:tr>
      <w:tr w:rsidR="00F0566E" w14:paraId="14A09A46" w14:textId="77777777">
        <w:trPr>
          <w:trHeight w:val="608"/>
        </w:trPr>
        <w:tc>
          <w:tcPr>
            <w:tcW w:w="343" w:type="dxa"/>
            <w:vMerge/>
            <w:tcBorders>
              <w:top w:val="nil"/>
              <w:left w:val="single" w:sz="4" w:space="0" w:color="000000"/>
              <w:bottom w:val="single" w:sz="4" w:space="0" w:color="000000"/>
              <w:right w:val="single" w:sz="4" w:space="0" w:color="000000"/>
            </w:tcBorders>
            <w:shd w:val="clear" w:color="auto" w:fill="auto"/>
            <w:vAlign w:val="center"/>
          </w:tcPr>
          <w:p w14:paraId="3EAAC09B" w14:textId="77777777" w:rsidR="00F0566E" w:rsidRDefault="00F0566E">
            <w:pPr>
              <w:rPr>
                <w:rFonts w:cs="Times New Roman"/>
                <w:sz w:val="20"/>
                <w:szCs w:val="20"/>
              </w:rPr>
            </w:pPr>
          </w:p>
        </w:tc>
        <w:tc>
          <w:tcPr>
            <w:tcW w:w="343" w:type="dxa"/>
            <w:vMerge/>
            <w:tcBorders>
              <w:top w:val="nil"/>
              <w:left w:val="nil"/>
              <w:bottom w:val="nil"/>
              <w:right w:val="single" w:sz="4" w:space="0" w:color="000000"/>
            </w:tcBorders>
            <w:shd w:val="clear" w:color="auto" w:fill="auto"/>
            <w:vAlign w:val="center"/>
          </w:tcPr>
          <w:p w14:paraId="37ABD6C5" w14:textId="77777777" w:rsidR="00F0566E" w:rsidRDefault="00F0566E">
            <w:pPr>
              <w:rPr>
                <w:rFonts w:cs="Times New Roman"/>
                <w:sz w:val="20"/>
                <w:szCs w:val="20"/>
              </w:rPr>
            </w:pPr>
          </w:p>
        </w:tc>
        <w:tc>
          <w:tcPr>
            <w:tcW w:w="376" w:type="dxa"/>
            <w:tcBorders>
              <w:top w:val="single" w:sz="4" w:space="0" w:color="000000"/>
              <w:left w:val="nil"/>
              <w:bottom w:val="nil"/>
              <w:right w:val="single" w:sz="4" w:space="0" w:color="000000"/>
            </w:tcBorders>
            <w:shd w:val="clear" w:color="auto" w:fill="auto"/>
            <w:vAlign w:val="center"/>
          </w:tcPr>
          <w:p w14:paraId="565B22F3" w14:textId="77777777" w:rsidR="00F0566E" w:rsidRDefault="00000000">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质量指标</w:t>
            </w:r>
          </w:p>
        </w:tc>
        <w:tc>
          <w:tcPr>
            <w:tcW w:w="1925" w:type="dxa"/>
            <w:tcBorders>
              <w:top w:val="single" w:sz="4" w:space="0" w:color="000000"/>
              <w:left w:val="nil"/>
              <w:bottom w:val="single" w:sz="4" w:space="0" w:color="000000"/>
              <w:right w:val="single" w:sz="4" w:space="0" w:color="000000"/>
            </w:tcBorders>
            <w:shd w:val="clear" w:color="auto" w:fill="auto"/>
            <w:vAlign w:val="center"/>
          </w:tcPr>
          <w:p w14:paraId="0158A6E3" w14:textId="77777777" w:rsidR="00F0566E" w:rsidRDefault="00000000">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完成场（厂）车智慧监管系统及硬件安装覆盖率</w:t>
            </w:r>
          </w:p>
        </w:tc>
        <w:tc>
          <w:tcPr>
            <w:tcW w:w="1395" w:type="dxa"/>
            <w:tcBorders>
              <w:top w:val="single" w:sz="4" w:space="0" w:color="000000"/>
              <w:left w:val="nil"/>
              <w:bottom w:val="single" w:sz="4" w:space="0" w:color="000000"/>
              <w:right w:val="single" w:sz="4" w:space="0" w:color="000000"/>
            </w:tcBorders>
            <w:shd w:val="clear" w:color="auto" w:fill="auto"/>
            <w:vAlign w:val="center"/>
          </w:tcPr>
          <w:p w14:paraId="41070770"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总覆盖率达</w:t>
            </w:r>
            <w:r>
              <w:rPr>
                <w:rFonts w:eastAsia="宋体" w:cs="Times New Roman"/>
                <w:color w:val="000000"/>
                <w:kern w:val="0"/>
                <w:sz w:val="18"/>
                <w:szCs w:val="18"/>
                <w:lang w:bidi="ar"/>
              </w:rPr>
              <w:t>70%</w:t>
            </w:r>
            <w:r>
              <w:rPr>
                <w:rFonts w:ascii="宋体" w:eastAsia="宋体" w:hAnsi="宋体" w:cs="宋体" w:hint="eastAsia"/>
                <w:color w:val="000000"/>
                <w:kern w:val="0"/>
                <w:sz w:val="18"/>
                <w:szCs w:val="18"/>
                <w:lang w:bidi="ar"/>
              </w:rPr>
              <w:t>以上</w:t>
            </w:r>
          </w:p>
        </w:tc>
        <w:tc>
          <w:tcPr>
            <w:tcW w:w="1336" w:type="dxa"/>
            <w:tcBorders>
              <w:top w:val="single" w:sz="4" w:space="0" w:color="000000"/>
              <w:left w:val="nil"/>
              <w:bottom w:val="single" w:sz="4" w:space="0" w:color="000000"/>
              <w:right w:val="single" w:sz="4" w:space="0" w:color="000000"/>
            </w:tcBorders>
            <w:shd w:val="clear" w:color="auto" w:fill="auto"/>
            <w:vAlign w:val="center"/>
          </w:tcPr>
          <w:p w14:paraId="45B53DA3"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总覆盖率达95</w:t>
            </w:r>
            <w:r>
              <w:rPr>
                <w:rFonts w:eastAsia="宋体" w:cs="Times New Roman"/>
                <w:color w:val="000000"/>
                <w:kern w:val="0"/>
                <w:sz w:val="18"/>
                <w:szCs w:val="18"/>
                <w:lang w:bidi="ar"/>
              </w:rPr>
              <w:t>%</w:t>
            </w:r>
            <w:r>
              <w:rPr>
                <w:rFonts w:ascii="宋体" w:eastAsia="宋体" w:hAnsi="宋体" w:cs="宋体" w:hint="eastAsia"/>
                <w:color w:val="000000"/>
                <w:kern w:val="0"/>
                <w:sz w:val="18"/>
                <w:szCs w:val="18"/>
                <w:lang w:bidi="ar"/>
              </w:rPr>
              <w:t>以上</w:t>
            </w:r>
          </w:p>
        </w:tc>
        <w:tc>
          <w:tcPr>
            <w:tcW w:w="519" w:type="dxa"/>
            <w:tcBorders>
              <w:top w:val="single" w:sz="4" w:space="0" w:color="000000"/>
              <w:left w:val="nil"/>
              <w:bottom w:val="single" w:sz="4" w:space="0" w:color="000000"/>
              <w:right w:val="single" w:sz="4" w:space="0" w:color="000000"/>
            </w:tcBorders>
            <w:shd w:val="clear" w:color="auto" w:fill="auto"/>
            <w:vAlign w:val="center"/>
          </w:tcPr>
          <w:p w14:paraId="550A755F"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10</w:t>
            </w:r>
          </w:p>
        </w:tc>
        <w:tc>
          <w:tcPr>
            <w:tcW w:w="519" w:type="dxa"/>
            <w:tcBorders>
              <w:top w:val="single" w:sz="4" w:space="0" w:color="000000"/>
              <w:left w:val="nil"/>
              <w:bottom w:val="single" w:sz="4" w:space="0" w:color="000000"/>
              <w:right w:val="single" w:sz="4" w:space="0" w:color="000000"/>
            </w:tcBorders>
            <w:shd w:val="clear" w:color="auto" w:fill="auto"/>
            <w:vAlign w:val="center"/>
          </w:tcPr>
          <w:p w14:paraId="0D45B194"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10</w:t>
            </w:r>
          </w:p>
        </w:tc>
        <w:tc>
          <w:tcPr>
            <w:tcW w:w="2256" w:type="dxa"/>
            <w:tcBorders>
              <w:top w:val="single" w:sz="4" w:space="0" w:color="000000"/>
              <w:left w:val="nil"/>
              <w:bottom w:val="single" w:sz="4" w:space="0" w:color="000000"/>
              <w:right w:val="single" w:sz="4" w:space="0" w:color="000000"/>
            </w:tcBorders>
            <w:shd w:val="clear" w:color="auto" w:fill="auto"/>
            <w:vAlign w:val="center"/>
          </w:tcPr>
          <w:p w14:paraId="45BA3C1A" w14:textId="77777777" w:rsidR="00F0566E" w:rsidRDefault="00F0566E">
            <w:pPr>
              <w:widowControl/>
              <w:jc w:val="center"/>
              <w:rPr>
                <w:rFonts w:eastAsia="宋体" w:cs="Times New Roman"/>
                <w:color w:val="000000"/>
                <w:sz w:val="18"/>
                <w:szCs w:val="18"/>
              </w:rPr>
            </w:pPr>
          </w:p>
        </w:tc>
      </w:tr>
      <w:tr w:rsidR="00F0566E" w14:paraId="0437ED02" w14:textId="77777777">
        <w:trPr>
          <w:trHeight w:val="523"/>
        </w:trPr>
        <w:tc>
          <w:tcPr>
            <w:tcW w:w="343" w:type="dxa"/>
            <w:vMerge/>
            <w:tcBorders>
              <w:top w:val="nil"/>
              <w:left w:val="single" w:sz="4" w:space="0" w:color="000000"/>
              <w:bottom w:val="single" w:sz="4" w:space="0" w:color="000000"/>
              <w:right w:val="single" w:sz="4" w:space="0" w:color="000000"/>
            </w:tcBorders>
            <w:shd w:val="clear" w:color="auto" w:fill="auto"/>
            <w:vAlign w:val="center"/>
          </w:tcPr>
          <w:p w14:paraId="704B2753" w14:textId="77777777" w:rsidR="00F0566E" w:rsidRDefault="00F0566E">
            <w:pPr>
              <w:rPr>
                <w:rFonts w:cs="Times New Roman"/>
                <w:sz w:val="20"/>
                <w:szCs w:val="20"/>
              </w:rPr>
            </w:pPr>
          </w:p>
        </w:tc>
        <w:tc>
          <w:tcPr>
            <w:tcW w:w="343" w:type="dxa"/>
            <w:vMerge/>
            <w:tcBorders>
              <w:top w:val="nil"/>
              <w:left w:val="nil"/>
              <w:bottom w:val="nil"/>
              <w:right w:val="single" w:sz="4" w:space="0" w:color="000000"/>
            </w:tcBorders>
            <w:shd w:val="clear" w:color="auto" w:fill="auto"/>
            <w:vAlign w:val="center"/>
          </w:tcPr>
          <w:p w14:paraId="0E308854" w14:textId="77777777" w:rsidR="00F0566E" w:rsidRDefault="00F0566E">
            <w:pPr>
              <w:rPr>
                <w:rFonts w:cs="Times New Roman"/>
                <w:sz w:val="20"/>
                <w:szCs w:val="20"/>
              </w:rPr>
            </w:pPr>
          </w:p>
        </w:tc>
        <w:tc>
          <w:tcPr>
            <w:tcW w:w="376" w:type="dxa"/>
            <w:tcBorders>
              <w:top w:val="single" w:sz="4" w:space="0" w:color="000000"/>
              <w:left w:val="nil"/>
              <w:bottom w:val="nil"/>
              <w:right w:val="single" w:sz="4" w:space="0" w:color="000000"/>
            </w:tcBorders>
            <w:shd w:val="clear" w:color="auto" w:fill="auto"/>
            <w:vAlign w:val="center"/>
          </w:tcPr>
          <w:p w14:paraId="76EAA4A7" w14:textId="77777777" w:rsidR="00F0566E" w:rsidRDefault="00000000">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时效指标</w:t>
            </w:r>
          </w:p>
        </w:tc>
        <w:tc>
          <w:tcPr>
            <w:tcW w:w="1925" w:type="dxa"/>
            <w:tcBorders>
              <w:top w:val="single" w:sz="4" w:space="0" w:color="000000"/>
              <w:left w:val="nil"/>
              <w:bottom w:val="single" w:sz="4" w:space="0" w:color="000000"/>
              <w:right w:val="single" w:sz="4" w:space="0" w:color="000000"/>
            </w:tcBorders>
            <w:shd w:val="clear" w:color="auto" w:fill="auto"/>
            <w:vAlign w:val="center"/>
          </w:tcPr>
          <w:p w14:paraId="22BB85F8" w14:textId="77777777" w:rsidR="00F0566E" w:rsidRDefault="00000000">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完成安装时间</w:t>
            </w:r>
          </w:p>
        </w:tc>
        <w:tc>
          <w:tcPr>
            <w:tcW w:w="1395" w:type="dxa"/>
            <w:tcBorders>
              <w:top w:val="single" w:sz="4" w:space="0" w:color="000000"/>
              <w:left w:val="nil"/>
              <w:bottom w:val="single" w:sz="4" w:space="0" w:color="000000"/>
              <w:right w:val="single" w:sz="4" w:space="0" w:color="000000"/>
            </w:tcBorders>
            <w:shd w:val="clear" w:color="auto" w:fill="auto"/>
            <w:vAlign w:val="center"/>
          </w:tcPr>
          <w:p w14:paraId="0F0F32C5"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2021-10-31</w:t>
            </w:r>
          </w:p>
        </w:tc>
        <w:tc>
          <w:tcPr>
            <w:tcW w:w="1336" w:type="dxa"/>
            <w:tcBorders>
              <w:top w:val="single" w:sz="4" w:space="0" w:color="000000"/>
              <w:left w:val="nil"/>
              <w:bottom w:val="single" w:sz="4" w:space="0" w:color="000000"/>
              <w:right w:val="single" w:sz="4" w:space="0" w:color="000000"/>
            </w:tcBorders>
            <w:shd w:val="clear" w:color="auto" w:fill="auto"/>
            <w:vAlign w:val="center"/>
          </w:tcPr>
          <w:p w14:paraId="551B6178"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2021-10-31</w:t>
            </w:r>
          </w:p>
        </w:tc>
        <w:tc>
          <w:tcPr>
            <w:tcW w:w="519" w:type="dxa"/>
            <w:tcBorders>
              <w:top w:val="single" w:sz="4" w:space="0" w:color="000000"/>
              <w:left w:val="nil"/>
              <w:bottom w:val="single" w:sz="4" w:space="0" w:color="000000"/>
              <w:right w:val="single" w:sz="4" w:space="0" w:color="000000"/>
            </w:tcBorders>
            <w:shd w:val="clear" w:color="auto" w:fill="auto"/>
            <w:vAlign w:val="center"/>
          </w:tcPr>
          <w:p w14:paraId="16771163"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10</w:t>
            </w:r>
          </w:p>
        </w:tc>
        <w:tc>
          <w:tcPr>
            <w:tcW w:w="519" w:type="dxa"/>
            <w:tcBorders>
              <w:top w:val="single" w:sz="4" w:space="0" w:color="000000"/>
              <w:left w:val="nil"/>
              <w:bottom w:val="single" w:sz="4" w:space="0" w:color="000000"/>
              <w:right w:val="single" w:sz="4" w:space="0" w:color="000000"/>
            </w:tcBorders>
            <w:shd w:val="clear" w:color="auto" w:fill="auto"/>
            <w:vAlign w:val="center"/>
          </w:tcPr>
          <w:p w14:paraId="70E2BFCE"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10</w:t>
            </w:r>
          </w:p>
        </w:tc>
        <w:tc>
          <w:tcPr>
            <w:tcW w:w="2256" w:type="dxa"/>
            <w:tcBorders>
              <w:top w:val="single" w:sz="4" w:space="0" w:color="000000"/>
              <w:left w:val="nil"/>
              <w:bottom w:val="single" w:sz="4" w:space="0" w:color="000000"/>
              <w:right w:val="single" w:sz="4" w:space="0" w:color="000000"/>
            </w:tcBorders>
            <w:shd w:val="clear" w:color="auto" w:fill="auto"/>
            <w:vAlign w:val="center"/>
          </w:tcPr>
          <w:p w14:paraId="45E52E8F" w14:textId="77777777" w:rsidR="00F0566E" w:rsidRDefault="00F0566E">
            <w:pPr>
              <w:widowControl/>
              <w:jc w:val="center"/>
              <w:rPr>
                <w:rFonts w:eastAsia="宋体" w:cs="Times New Roman"/>
                <w:color w:val="000000"/>
                <w:sz w:val="18"/>
                <w:szCs w:val="18"/>
              </w:rPr>
            </w:pPr>
          </w:p>
        </w:tc>
      </w:tr>
      <w:tr w:rsidR="00F0566E" w14:paraId="5192EC4F" w14:textId="77777777">
        <w:trPr>
          <w:trHeight w:val="523"/>
        </w:trPr>
        <w:tc>
          <w:tcPr>
            <w:tcW w:w="343" w:type="dxa"/>
            <w:vMerge/>
            <w:tcBorders>
              <w:top w:val="nil"/>
              <w:left w:val="single" w:sz="4" w:space="0" w:color="000000"/>
              <w:bottom w:val="single" w:sz="4" w:space="0" w:color="000000"/>
              <w:right w:val="single" w:sz="4" w:space="0" w:color="000000"/>
            </w:tcBorders>
            <w:shd w:val="clear" w:color="auto" w:fill="auto"/>
            <w:vAlign w:val="center"/>
          </w:tcPr>
          <w:p w14:paraId="708C1D05" w14:textId="77777777" w:rsidR="00F0566E" w:rsidRDefault="00F0566E">
            <w:pPr>
              <w:rPr>
                <w:rFonts w:cs="Times New Roman"/>
                <w:sz w:val="20"/>
                <w:szCs w:val="20"/>
              </w:rPr>
            </w:pPr>
          </w:p>
        </w:tc>
        <w:tc>
          <w:tcPr>
            <w:tcW w:w="343" w:type="dxa"/>
            <w:vMerge/>
            <w:tcBorders>
              <w:top w:val="nil"/>
              <w:left w:val="nil"/>
              <w:bottom w:val="nil"/>
              <w:right w:val="single" w:sz="4" w:space="0" w:color="000000"/>
            </w:tcBorders>
            <w:shd w:val="clear" w:color="auto" w:fill="auto"/>
            <w:vAlign w:val="center"/>
          </w:tcPr>
          <w:p w14:paraId="4A424AF7" w14:textId="77777777" w:rsidR="00F0566E" w:rsidRDefault="00F0566E">
            <w:pPr>
              <w:rPr>
                <w:rFonts w:cs="Times New Roman"/>
                <w:sz w:val="20"/>
                <w:szCs w:val="20"/>
              </w:rPr>
            </w:pPr>
          </w:p>
        </w:tc>
        <w:tc>
          <w:tcPr>
            <w:tcW w:w="376" w:type="dxa"/>
            <w:tcBorders>
              <w:top w:val="single" w:sz="4" w:space="0" w:color="000000"/>
              <w:left w:val="nil"/>
              <w:bottom w:val="nil"/>
              <w:right w:val="single" w:sz="4" w:space="0" w:color="000000"/>
            </w:tcBorders>
            <w:shd w:val="clear" w:color="auto" w:fill="auto"/>
            <w:vAlign w:val="center"/>
          </w:tcPr>
          <w:p w14:paraId="6C42D333" w14:textId="77777777" w:rsidR="00F0566E" w:rsidRDefault="00000000">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成本指标</w:t>
            </w:r>
          </w:p>
        </w:tc>
        <w:tc>
          <w:tcPr>
            <w:tcW w:w="1925" w:type="dxa"/>
            <w:tcBorders>
              <w:top w:val="single" w:sz="4" w:space="0" w:color="000000"/>
              <w:left w:val="nil"/>
              <w:bottom w:val="single" w:sz="4" w:space="0" w:color="000000"/>
              <w:right w:val="single" w:sz="4" w:space="0" w:color="000000"/>
            </w:tcBorders>
            <w:shd w:val="clear" w:color="auto" w:fill="auto"/>
            <w:vAlign w:val="center"/>
          </w:tcPr>
          <w:p w14:paraId="5AAD33D4" w14:textId="77777777" w:rsidR="00F0566E" w:rsidRDefault="00000000">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每台场（厂）车成本</w:t>
            </w:r>
          </w:p>
        </w:tc>
        <w:tc>
          <w:tcPr>
            <w:tcW w:w="1395" w:type="dxa"/>
            <w:tcBorders>
              <w:top w:val="single" w:sz="4" w:space="0" w:color="000000"/>
              <w:left w:val="nil"/>
              <w:bottom w:val="single" w:sz="4" w:space="0" w:color="000000"/>
              <w:right w:val="single" w:sz="4" w:space="0" w:color="000000"/>
            </w:tcBorders>
            <w:shd w:val="clear" w:color="auto" w:fill="auto"/>
            <w:vAlign w:val="center"/>
          </w:tcPr>
          <w:p w14:paraId="41AA1FDC"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900</w:t>
            </w:r>
            <w:r>
              <w:rPr>
                <w:rFonts w:ascii="宋体" w:eastAsia="宋体" w:hAnsi="宋体" w:cs="宋体" w:hint="eastAsia"/>
                <w:color w:val="000000"/>
                <w:kern w:val="0"/>
                <w:sz w:val="18"/>
                <w:szCs w:val="18"/>
                <w:lang w:bidi="ar"/>
              </w:rPr>
              <w:t>元</w:t>
            </w:r>
          </w:p>
        </w:tc>
        <w:tc>
          <w:tcPr>
            <w:tcW w:w="1336" w:type="dxa"/>
            <w:tcBorders>
              <w:top w:val="single" w:sz="4" w:space="0" w:color="000000"/>
              <w:left w:val="nil"/>
              <w:bottom w:val="single" w:sz="4" w:space="0" w:color="000000"/>
              <w:right w:val="single" w:sz="4" w:space="0" w:color="000000"/>
            </w:tcBorders>
            <w:shd w:val="clear" w:color="auto" w:fill="auto"/>
            <w:vAlign w:val="center"/>
          </w:tcPr>
          <w:p w14:paraId="36951E94"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900</w:t>
            </w:r>
            <w:r>
              <w:rPr>
                <w:rFonts w:ascii="宋体" w:eastAsia="宋体" w:hAnsi="宋体" w:cs="宋体" w:hint="eastAsia"/>
                <w:color w:val="000000"/>
                <w:kern w:val="0"/>
                <w:sz w:val="18"/>
                <w:szCs w:val="18"/>
                <w:lang w:bidi="ar"/>
              </w:rPr>
              <w:t>元</w:t>
            </w:r>
          </w:p>
        </w:tc>
        <w:tc>
          <w:tcPr>
            <w:tcW w:w="519" w:type="dxa"/>
            <w:tcBorders>
              <w:top w:val="single" w:sz="4" w:space="0" w:color="000000"/>
              <w:left w:val="nil"/>
              <w:bottom w:val="single" w:sz="4" w:space="0" w:color="000000"/>
              <w:right w:val="single" w:sz="4" w:space="0" w:color="000000"/>
            </w:tcBorders>
            <w:shd w:val="clear" w:color="auto" w:fill="auto"/>
            <w:vAlign w:val="center"/>
          </w:tcPr>
          <w:p w14:paraId="11C2DD93"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10</w:t>
            </w:r>
          </w:p>
        </w:tc>
        <w:tc>
          <w:tcPr>
            <w:tcW w:w="519" w:type="dxa"/>
            <w:tcBorders>
              <w:top w:val="single" w:sz="4" w:space="0" w:color="000000"/>
              <w:left w:val="nil"/>
              <w:bottom w:val="single" w:sz="4" w:space="0" w:color="000000"/>
              <w:right w:val="single" w:sz="4" w:space="0" w:color="000000"/>
            </w:tcBorders>
            <w:shd w:val="clear" w:color="auto" w:fill="auto"/>
            <w:vAlign w:val="center"/>
          </w:tcPr>
          <w:p w14:paraId="7BBB00A7"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10</w:t>
            </w:r>
          </w:p>
        </w:tc>
        <w:tc>
          <w:tcPr>
            <w:tcW w:w="2256" w:type="dxa"/>
            <w:tcBorders>
              <w:top w:val="single" w:sz="4" w:space="0" w:color="000000"/>
              <w:left w:val="nil"/>
              <w:bottom w:val="single" w:sz="4" w:space="0" w:color="000000"/>
              <w:right w:val="single" w:sz="4" w:space="0" w:color="000000"/>
            </w:tcBorders>
            <w:shd w:val="clear" w:color="auto" w:fill="auto"/>
            <w:vAlign w:val="center"/>
          </w:tcPr>
          <w:p w14:paraId="501505F8" w14:textId="77777777" w:rsidR="00F0566E" w:rsidRDefault="00F0566E">
            <w:pPr>
              <w:widowControl/>
              <w:jc w:val="center"/>
              <w:rPr>
                <w:rFonts w:eastAsia="宋体" w:cs="Times New Roman"/>
                <w:color w:val="000000"/>
                <w:sz w:val="18"/>
                <w:szCs w:val="18"/>
              </w:rPr>
            </w:pPr>
          </w:p>
        </w:tc>
      </w:tr>
      <w:tr w:rsidR="00F0566E" w14:paraId="3F77F7C8" w14:textId="77777777">
        <w:trPr>
          <w:trHeight w:val="752"/>
        </w:trPr>
        <w:tc>
          <w:tcPr>
            <w:tcW w:w="343" w:type="dxa"/>
            <w:vMerge/>
            <w:tcBorders>
              <w:top w:val="nil"/>
              <w:left w:val="single" w:sz="4" w:space="0" w:color="000000"/>
              <w:bottom w:val="single" w:sz="4" w:space="0" w:color="000000"/>
              <w:right w:val="single" w:sz="4" w:space="0" w:color="000000"/>
            </w:tcBorders>
            <w:shd w:val="clear" w:color="auto" w:fill="auto"/>
            <w:vAlign w:val="center"/>
          </w:tcPr>
          <w:p w14:paraId="0C807E26" w14:textId="77777777" w:rsidR="00F0566E" w:rsidRDefault="00F0566E">
            <w:pPr>
              <w:rPr>
                <w:rFonts w:cs="Times New Roman"/>
                <w:sz w:val="20"/>
                <w:szCs w:val="20"/>
              </w:rPr>
            </w:pPr>
          </w:p>
        </w:tc>
        <w:tc>
          <w:tcPr>
            <w:tcW w:w="343" w:type="dxa"/>
            <w:vMerge w:val="restart"/>
            <w:tcBorders>
              <w:top w:val="single" w:sz="4" w:space="0" w:color="000000"/>
              <w:left w:val="nil"/>
              <w:bottom w:val="nil"/>
              <w:right w:val="single" w:sz="4" w:space="0" w:color="000000"/>
            </w:tcBorders>
            <w:shd w:val="clear" w:color="auto" w:fill="auto"/>
            <w:vAlign w:val="center"/>
          </w:tcPr>
          <w:p w14:paraId="38743D6A"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效益指标(45分)</w:t>
            </w:r>
          </w:p>
        </w:tc>
        <w:tc>
          <w:tcPr>
            <w:tcW w:w="376" w:type="dxa"/>
            <w:tcBorders>
              <w:top w:val="single" w:sz="4" w:space="0" w:color="000000"/>
              <w:left w:val="nil"/>
              <w:bottom w:val="nil"/>
              <w:right w:val="single" w:sz="4" w:space="0" w:color="000000"/>
            </w:tcBorders>
            <w:shd w:val="clear" w:color="auto" w:fill="auto"/>
            <w:vAlign w:val="center"/>
          </w:tcPr>
          <w:p w14:paraId="5E64DB88" w14:textId="77777777" w:rsidR="00F0566E" w:rsidRDefault="00000000">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经济效益指标</w:t>
            </w:r>
          </w:p>
        </w:tc>
        <w:tc>
          <w:tcPr>
            <w:tcW w:w="1925" w:type="dxa"/>
            <w:tcBorders>
              <w:top w:val="single" w:sz="4" w:space="0" w:color="000000"/>
              <w:left w:val="nil"/>
              <w:bottom w:val="single" w:sz="4" w:space="0" w:color="000000"/>
              <w:right w:val="single" w:sz="4" w:space="0" w:color="000000"/>
            </w:tcBorders>
            <w:shd w:val="clear" w:color="auto" w:fill="auto"/>
            <w:vAlign w:val="center"/>
          </w:tcPr>
          <w:p w14:paraId="5E46C9F2" w14:textId="77777777" w:rsidR="00F0566E" w:rsidRDefault="00F0566E">
            <w:pPr>
              <w:widowControl/>
              <w:rPr>
                <w:rFonts w:ascii="宋体" w:eastAsia="宋体" w:hAnsi="宋体" w:cs="宋体"/>
                <w:color w:val="000000"/>
                <w:sz w:val="18"/>
                <w:szCs w:val="18"/>
              </w:rPr>
            </w:pPr>
          </w:p>
        </w:tc>
        <w:tc>
          <w:tcPr>
            <w:tcW w:w="1395" w:type="dxa"/>
            <w:tcBorders>
              <w:top w:val="single" w:sz="4" w:space="0" w:color="000000"/>
              <w:left w:val="nil"/>
              <w:bottom w:val="single" w:sz="4" w:space="0" w:color="000000"/>
              <w:right w:val="single" w:sz="4" w:space="0" w:color="000000"/>
            </w:tcBorders>
            <w:shd w:val="clear" w:color="auto" w:fill="auto"/>
            <w:vAlign w:val="center"/>
          </w:tcPr>
          <w:p w14:paraId="5CBE2513" w14:textId="77777777" w:rsidR="00F0566E" w:rsidRDefault="00F0566E">
            <w:pPr>
              <w:widowControl/>
              <w:jc w:val="center"/>
              <w:rPr>
                <w:rFonts w:ascii="宋体" w:eastAsia="宋体" w:hAnsi="宋体" w:cs="宋体"/>
                <w:color w:val="000000"/>
                <w:sz w:val="18"/>
                <w:szCs w:val="18"/>
              </w:rPr>
            </w:pPr>
          </w:p>
        </w:tc>
        <w:tc>
          <w:tcPr>
            <w:tcW w:w="1336" w:type="dxa"/>
            <w:tcBorders>
              <w:top w:val="single" w:sz="4" w:space="0" w:color="000000"/>
              <w:left w:val="nil"/>
              <w:bottom w:val="single" w:sz="4" w:space="0" w:color="000000"/>
              <w:right w:val="single" w:sz="4" w:space="0" w:color="000000"/>
            </w:tcBorders>
            <w:shd w:val="clear" w:color="auto" w:fill="auto"/>
            <w:vAlign w:val="center"/>
          </w:tcPr>
          <w:p w14:paraId="05A133C8" w14:textId="77777777" w:rsidR="00F0566E" w:rsidRDefault="00F0566E">
            <w:pPr>
              <w:widowControl/>
              <w:rPr>
                <w:rFonts w:eastAsia="宋体" w:cs="Times New Roman"/>
                <w:color w:val="000000"/>
                <w:sz w:val="18"/>
                <w:szCs w:val="18"/>
              </w:rPr>
            </w:pPr>
          </w:p>
        </w:tc>
        <w:tc>
          <w:tcPr>
            <w:tcW w:w="519" w:type="dxa"/>
            <w:tcBorders>
              <w:top w:val="single" w:sz="4" w:space="0" w:color="000000"/>
              <w:left w:val="nil"/>
              <w:bottom w:val="single" w:sz="4" w:space="0" w:color="000000"/>
              <w:right w:val="single" w:sz="4" w:space="0" w:color="000000"/>
            </w:tcBorders>
            <w:shd w:val="clear" w:color="auto" w:fill="auto"/>
            <w:vAlign w:val="center"/>
          </w:tcPr>
          <w:p w14:paraId="144C2606" w14:textId="77777777" w:rsidR="00F0566E" w:rsidRDefault="00F0566E">
            <w:pPr>
              <w:widowControl/>
              <w:jc w:val="center"/>
              <w:rPr>
                <w:rFonts w:eastAsia="宋体" w:cs="Times New Roman"/>
                <w:color w:val="000000"/>
                <w:sz w:val="18"/>
                <w:szCs w:val="18"/>
              </w:rPr>
            </w:pPr>
          </w:p>
        </w:tc>
        <w:tc>
          <w:tcPr>
            <w:tcW w:w="519" w:type="dxa"/>
            <w:tcBorders>
              <w:top w:val="single" w:sz="4" w:space="0" w:color="000000"/>
              <w:left w:val="nil"/>
              <w:bottom w:val="single" w:sz="4" w:space="0" w:color="000000"/>
              <w:right w:val="single" w:sz="4" w:space="0" w:color="000000"/>
            </w:tcBorders>
            <w:shd w:val="clear" w:color="auto" w:fill="auto"/>
            <w:vAlign w:val="center"/>
          </w:tcPr>
          <w:p w14:paraId="485B67A8" w14:textId="77777777" w:rsidR="00F0566E" w:rsidRDefault="00F0566E">
            <w:pPr>
              <w:widowControl/>
              <w:jc w:val="center"/>
              <w:rPr>
                <w:rFonts w:eastAsia="宋体" w:cs="Times New Roman"/>
                <w:color w:val="000000"/>
                <w:sz w:val="18"/>
                <w:szCs w:val="18"/>
              </w:rPr>
            </w:pPr>
          </w:p>
        </w:tc>
        <w:tc>
          <w:tcPr>
            <w:tcW w:w="2256" w:type="dxa"/>
            <w:tcBorders>
              <w:top w:val="single" w:sz="4" w:space="0" w:color="000000"/>
              <w:left w:val="nil"/>
              <w:bottom w:val="single" w:sz="4" w:space="0" w:color="000000"/>
              <w:right w:val="single" w:sz="4" w:space="0" w:color="000000"/>
            </w:tcBorders>
            <w:shd w:val="clear" w:color="auto" w:fill="auto"/>
            <w:vAlign w:val="center"/>
          </w:tcPr>
          <w:p w14:paraId="75A469B3" w14:textId="77777777" w:rsidR="00F0566E" w:rsidRDefault="00F0566E">
            <w:pPr>
              <w:widowControl/>
              <w:jc w:val="center"/>
              <w:rPr>
                <w:rFonts w:eastAsia="宋体" w:cs="Times New Roman"/>
                <w:color w:val="000000"/>
                <w:sz w:val="18"/>
                <w:szCs w:val="18"/>
              </w:rPr>
            </w:pPr>
          </w:p>
        </w:tc>
      </w:tr>
      <w:tr w:rsidR="00F0566E" w14:paraId="1540F5A1" w14:textId="77777777">
        <w:trPr>
          <w:trHeight w:val="1034"/>
        </w:trPr>
        <w:tc>
          <w:tcPr>
            <w:tcW w:w="343" w:type="dxa"/>
            <w:vMerge/>
            <w:tcBorders>
              <w:top w:val="nil"/>
              <w:left w:val="single" w:sz="4" w:space="0" w:color="000000"/>
              <w:bottom w:val="single" w:sz="4" w:space="0" w:color="000000"/>
              <w:right w:val="single" w:sz="4" w:space="0" w:color="000000"/>
            </w:tcBorders>
            <w:shd w:val="clear" w:color="auto" w:fill="auto"/>
            <w:vAlign w:val="center"/>
          </w:tcPr>
          <w:p w14:paraId="786981F4" w14:textId="77777777" w:rsidR="00F0566E" w:rsidRDefault="00F0566E">
            <w:pPr>
              <w:rPr>
                <w:rFonts w:cs="Times New Roman"/>
                <w:sz w:val="20"/>
                <w:szCs w:val="20"/>
              </w:rPr>
            </w:pPr>
          </w:p>
        </w:tc>
        <w:tc>
          <w:tcPr>
            <w:tcW w:w="343" w:type="dxa"/>
            <w:vMerge/>
            <w:tcBorders>
              <w:top w:val="single" w:sz="4" w:space="0" w:color="000000"/>
              <w:left w:val="nil"/>
              <w:bottom w:val="nil"/>
              <w:right w:val="single" w:sz="4" w:space="0" w:color="000000"/>
            </w:tcBorders>
            <w:shd w:val="clear" w:color="auto" w:fill="auto"/>
            <w:vAlign w:val="center"/>
          </w:tcPr>
          <w:p w14:paraId="02AB66BB" w14:textId="77777777" w:rsidR="00F0566E" w:rsidRDefault="00F0566E">
            <w:pPr>
              <w:rPr>
                <w:rFonts w:cs="Times New Roman"/>
                <w:sz w:val="20"/>
                <w:szCs w:val="20"/>
              </w:rPr>
            </w:pPr>
          </w:p>
        </w:tc>
        <w:tc>
          <w:tcPr>
            <w:tcW w:w="376" w:type="dxa"/>
            <w:tcBorders>
              <w:top w:val="single" w:sz="4" w:space="0" w:color="000000"/>
              <w:left w:val="nil"/>
              <w:bottom w:val="nil"/>
              <w:right w:val="single" w:sz="4" w:space="0" w:color="000000"/>
            </w:tcBorders>
            <w:shd w:val="clear" w:color="auto" w:fill="auto"/>
            <w:vAlign w:val="center"/>
          </w:tcPr>
          <w:p w14:paraId="0490B56E" w14:textId="77777777" w:rsidR="00F0566E" w:rsidRDefault="00000000">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社会效益指标</w:t>
            </w:r>
          </w:p>
        </w:tc>
        <w:tc>
          <w:tcPr>
            <w:tcW w:w="1925" w:type="dxa"/>
            <w:tcBorders>
              <w:top w:val="single" w:sz="4" w:space="0" w:color="000000"/>
              <w:left w:val="nil"/>
              <w:bottom w:val="single" w:sz="4" w:space="0" w:color="000000"/>
              <w:right w:val="single" w:sz="4" w:space="0" w:color="000000"/>
            </w:tcBorders>
            <w:shd w:val="clear" w:color="auto" w:fill="auto"/>
            <w:vAlign w:val="center"/>
          </w:tcPr>
          <w:p w14:paraId="3E8CF7DB" w14:textId="77777777" w:rsidR="00F0566E" w:rsidRDefault="00000000">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形成智慧监管</w:t>
            </w:r>
          </w:p>
        </w:tc>
        <w:tc>
          <w:tcPr>
            <w:tcW w:w="1395" w:type="dxa"/>
            <w:tcBorders>
              <w:top w:val="single" w:sz="4" w:space="0" w:color="000000"/>
              <w:left w:val="nil"/>
              <w:bottom w:val="single" w:sz="4" w:space="0" w:color="000000"/>
              <w:right w:val="single" w:sz="4" w:space="0" w:color="000000"/>
            </w:tcBorders>
            <w:shd w:val="clear" w:color="auto" w:fill="auto"/>
            <w:vAlign w:val="center"/>
          </w:tcPr>
          <w:p w14:paraId="410D748D"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消除安全监管工作盲区，实现场（厂）车质量安全可追溯</w:t>
            </w:r>
          </w:p>
        </w:tc>
        <w:tc>
          <w:tcPr>
            <w:tcW w:w="1336" w:type="dxa"/>
            <w:tcBorders>
              <w:top w:val="single" w:sz="4" w:space="0" w:color="000000"/>
              <w:left w:val="nil"/>
              <w:bottom w:val="single" w:sz="4" w:space="0" w:color="000000"/>
              <w:right w:val="single" w:sz="4" w:space="0" w:color="000000"/>
            </w:tcBorders>
            <w:shd w:val="clear" w:color="auto" w:fill="auto"/>
            <w:vAlign w:val="center"/>
          </w:tcPr>
          <w:p w14:paraId="3C3D1446"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消除安全监管工作盲区，实现场（厂）车质量安全可追溯</w:t>
            </w:r>
          </w:p>
        </w:tc>
        <w:tc>
          <w:tcPr>
            <w:tcW w:w="519" w:type="dxa"/>
            <w:tcBorders>
              <w:top w:val="single" w:sz="4" w:space="0" w:color="000000"/>
              <w:left w:val="nil"/>
              <w:bottom w:val="single" w:sz="4" w:space="0" w:color="000000"/>
              <w:right w:val="single" w:sz="4" w:space="0" w:color="000000"/>
            </w:tcBorders>
            <w:shd w:val="clear" w:color="auto" w:fill="auto"/>
            <w:vAlign w:val="center"/>
          </w:tcPr>
          <w:p w14:paraId="0E3F8D1C"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25</w:t>
            </w:r>
          </w:p>
        </w:tc>
        <w:tc>
          <w:tcPr>
            <w:tcW w:w="519" w:type="dxa"/>
            <w:tcBorders>
              <w:top w:val="single" w:sz="4" w:space="0" w:color="000000"/>
              <w:left w:val="nil"/>
              <w:bottom w:val="single" w:sz="4" w:space="0" w:color="000000"/>
              <w:right w:val="single" w:sz="4" w:space="0" w:color="000000"/>
            </w:tcBorders>
            <w:shd w:val="clear" w:color="auto" w:fill="auto"/>
            <w:vAlign w:val="center"/>
          </w:tcPr>
          <w:p w14:paraId="3715302F"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25</w:t>
            </w:r>
          </w:p>
        </w:tc>
        <w:tc>
          <w:tcPr>
            <w:tcW w:w="2256" w:type="dxa"/>
            <w:tcBorders>
              <w:top w:val="single" w:sz="4" w:space="0" w:color="000000"/>
              <w:left w:val="nil"/>
              <w:bottom w:val="single" w:sz="4" w:space="0" w:color="000000"/>
              <w:right w:val="single" w:sz="4" w:space="0" w:color="000000"/>
            </w:tcBorders>
            <w:shd w:val="clear" w:color="auto" w:fill="auto"/>
            <w:vAlign w:val="center"/>
          </w:tcPr>
          <w:p w14:paraId="42E639B7" w14:textId="77777777" w:rsidR="00F0566E" w:rsidRDefault="00F0566E">
            <w:pPr>
              <w:widowControl/>
              <w:jc w:val="center"/>
              <w:rPr>
                <w:rFonts w:eastAsia="宋体" w:cs="Times New Roman"/>
                <w:color w:val="000000"/>
                <w:sz w:val="18"/>
                <w:szCs w:val="18"/>
              </w:rPr>
            </w:pPr>
          </w:p>
        </w:tc>
      </w:tr>
      <w:tr w:rsidR="00F0566E" w14:paraId="24882114" w14:textId="77777777">
        <w:trPr>
          <w:trHeight w:val="752"/>
        </w:trPr>
        <w:tc>
          <w:tcPr>
            <w:tcW w:w="343" w:type="dxa"/>
            <w:vMerge/>
            <w:tcBorders>
              <w:top w:val="nil"/>
              <w:left w:val="single" w:sz="4" w:space="0" w:color="000000"/>
              <w:bottom w:val="single" w:sz="4" w:space="0" w:color="000000"/>
              <w:right w:val="single" w:sz="4" w:space="0" w:color="000000"/>
            </w:tcBorders>
            <w:shd w:val="clear" w:color="auto" w:fill="auto"/>
            <w:vAlign w:val="center"/>
          </w:tcPr>
          <w:p w14:paraId="781BD449" w14:textId="77777777" w:rsidR="00F0566E" w:rsidRDefault="00F0566E">
            <w:pPr>
              <w:rPr>
                <w:rFonts w:cs="Times New Roman"/>
                <w:sz w:val="20"/>
                <w:szCs w:val="20"/>
              </w:rPr>
            </w:pPr>
          </w:p>
        </w:tc>
        <w:tc>
          <w:tcPr>
            <w:tcW w:w="343" w:type="dxa"/>
            <w:vMerge/>
            <w:tcBorders>
              <w:top w:val="single" w:sz="4" w:space="0" w:color="000000"/>
              <w:left w:val="nil"/>
              <w:bottom w:val="nil"/>
              <w:right w:val="single" w:sz="4" w:space="0" w:color="000000"/>
            </w:tcBorders>
            <w:shd w:val="clear" w:color="auto" w:fill="auto"/>
            <w:vAlign w:val="center"/>
          </w:tcPr>
          <w:p w14:paraId="5EABFA91" w14:textId="77777777" w:rsidR="00F0566E" w:rsidRDefault="00F0566E">
            <w:pPr>
              <w:rPr>
                <w:rFonts w:cs="Times New Roman"/>
                <w:sz w:val="20"/>
                <w:szCs w:val="20"/>
              </w:rPr>
            </w:pPr>
          </w:p>
        </w:tc>
        <w:tc>
          <w:tcPr>
            <w:tcW w:w="376" w:type="dxa"/>
            <w:tcBorders>
              <w:top w:val="single" w:sz="4" w:space="0" w:color="000000"/>
              <w:left w:val="nil"/>
              <w:bottom w:val="nil"/>
              <w:right w:val="single" w:sz="4" w:space="0" w:color="000000"/>
            </w:tcBorders>
            <w:shd w:val="clear" w:color="auto" w:fill="auto"/>
            <w:vAlign w:val="center"/>
          </w:tcPr>
          <w:p w14:paraId="06B864DF" w14:textId="77777777" w:rsidR="00F0566E" w:rsidRDefault="00000000">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生态效益指标</w:t>
            </w:r>
          </w:p>
        </w:tc>
        <w:tc>
          <w:tcPr>
            <w:tcW w:w="1925" w:type="dxa"/>
            <w:tcBorders>
              <w:top w:val="single" w:sz="4" w:space="0" w:color="000000"/>
              <w:left w:val="nil"/>
              <w:bottom w:val="single" w:sz="4" w:space="0" w:color="000000"/>
              <w:right w:val="single" w:sz="4" w:space="0" w:color="000000"/>
            </w:tcBorders>
            <w:shd w:val="clear" w:color="auto" w:fill="auto"/>
            <w:vAlign w:val="center"/>
          </w:tcPr>
          <w:p w14:paraId="6B026A78" w14:textId="77777777" w:rsidR="00F0566E" w:rsidRDefault="00000000">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指标</w:t>
            </w:r>
            <w:r>
              <w:rPr>
                <w:rFonts w:eastAsia="宋体" w:cs="Times New Roman"/>
                <w:color w:val="000000"/>
                <w:kern w:val="0"/>
                <w:sz w:val="18"/>
                <w:szCs w:val="18"/>
                <w:lang w:bidi="ar"/>
              </w:rPr>
              <w:t>1</w:t>
            </w:r>
          </w:p>
        </w:tc>
        <w:tc>
          <w:tcPr>
            <w:tcW w:w="1395" w:type="dxa"/>
            <w:tcBorders>
              <w:top w:val="single" w:sz="4" w:space="0" w:color="000000"/>
              <w:left w:val="nil"/>
              <w:bottom w:val="single" w:sz="4" w:space="0" w:color="000000"/>
              <w:right w:val="single" w:sz="4" w:space="0" w:color="000000"/>
            </w:tcBorders>
            <w:shd w:val="clear" w:color="auto" w:fill="auto"/>
            <w:vAlign w:val="center"/>
          </w:tcPr>
          <w:p w14:paraId="56BB64EB" w14:textId="77777777" w:rsidR="00F0566E" w:rsidRDefault="00F0566E">
            <w:pPr>
              <w:widowControl/>
              <w:jc w:val="center"/>
              <w:rPr>
                <w:rFonts w:eastAsia="宋体" w:cs="Times New Roman"/>
                <w:color w:val="000000"/>
                <w:sz w:val="18"/>
                <w:szCs w:val="18"/>
              </w:rPr>
            </w:pPr>
          </w:p>
        </w:tc>
        <w:tc>
          <w:tcPr>
            <w:tcW w:w="1336" w:type="dxa"/>
            <w:tcBorders>
              <w:top w:val="single" w:sz="4" w:space="0" w:color="000000"/>
              <w:left w:val="nil"/>
              <w:bottom w:val="single" w:sz="4" w:space="0" w:color="000000"/>
              <w:right w:val="single" w:sz="4" w:space="0" w:color="000000"/>
            </w:tcBorders>
            <w:shd w:val="clear" w:color="auto" w:fill="auto"/>
            <w:vAlign w:val="center"/>
          </w:tcPr>
          <w:p w14:paraId="6E1B77CA" w14:textId="77777777" w:rsidR="00F0566E" w:rsidRDefault="00F0566E">
            <w:pPr>
              <w:widowControl/>
              <w:rPr>
                <w:rFonts w:eastAsia="宋体" w:cs="Times New Roman"/>
                <w:color w:val="000000"/>
                <w:sz w:val="18"/>
                <w:szCs w:val="18"/>
              </w:rPr>
            </w:pPr>
          </w:p>
        </w:tc>
        <w:tc>
          <w:tcPr>
            <w:tcW w:w="519" w:type="dxa"/>
            <w:tcBorders>
              <w:top w:val="single" w:sz="4" w:space="0" w:color="000000"/>
              <w:left w:val="nil"/>
              <w:bottom w:val="single" w:sz="4" w:space="0" w:color="000000"/>
              <w:right w:val="single" w:sz="4" w:space="0" w:color="000000"/>
            </w:tcBorders>
            <w:shd w:val="clear" w:color="auto" w:fill="auto"/>
            <w:vAlign w:val="center"/>
          </w:tcPr>
          <w:p w14:paraId="2ECF7A38" w14:textId="77777777" w:rsidR="00F0566E" w:rsidRDefault="00F0566E">
            <w:pPr>
              <w:widowControl/>
              <w:jc w:val="center"/>
              <w:rPr>
                <w:rFonts w:eastAsia="宋体" w:cs="Times New Roman"/>
                <w:color w:val="000000"/>
                <w:sz w:val="18"/>
                <w:szCs w:val="18"/>
              </w:rPr>
            </w:pPr>
          </w:p>
        </w:tc>
        <w:tc>
          <w:tcPr>
            <w:tcW w:w="519" w:type="dxa"/>
            <w:tcBorders>
              <w:top w:val="single" w:sz="4" w:space="0" w:color="000000"/>
              <w:left w:val="nil"/>
              <w:bottom w:val="single" w:sz="4" w:space="0" w:color="000000"/>
              <w:right w:val="single" w:sz="4" w:space="0" w:color="000000"/>
            </w:tcBorders>
            <w:shd w:val="clear" w:color="auto" w:fill="auto"/>
            <w:vAlign w:val="center"/>
          </w:tcPr>
          <w:p w14:paraId="6890774E" w14:textId="77777777" w:rsidR="00F0566E" w:rsidRDefault="00F0566E">
            <w:pPr>
              <w:widowControl/>
              <w:jc w:val="center"/>
              <w:rPr>
                <w:rFonts w:eastAsia="宋体" w:cs="Times New Roman"/>
                <w:color w:val="000000"/>
                <w:sz w:val="18"/>
                <w:szCs w:val="18"/>
              </w:rPr>
            </w:pPr>
          </w:p>
        </w:tc>
        <w:tc>
          <w:tcPr>
            <w:tcW w:w="2256" w:type="dxa"/>
            <w:tcBorders>
              <w:top w:val="single" w:sz="4" w:space="0" w:color="000000"/>
              <w:left w:val="nil"/>
              <w:bottom w:val="single" w:sz="4" w:space="0" w:color="000000"/>
              <w:right w:val="single" w:sz="4" w:space="0" w:color="000000"/>
            </w:tcBorders>
            <w:shd w:val="clear" w:color="auto" w:fill="auto"/>
            <w:vAlign w:val="center"/>
          </w:tcPr>
          <w:p w14:paraId="093DD7B0" w14:textId="77777777" w:rsidR="00F0566E" w:rsidRDefault="00F0566E">
            <w:pPr>
              <w:widowControl/>
              <w:jc w:val="center"/>
              <w:rPr>
                <w:rFonts w:eastAsia="宋体" w:cs="Times New Roman"/>
                <w:color w:val="000000"/>
                <w:sz w:val="18"/>
                <w:szCs w:val="18"/>
              </w:rPr>
            </w:pPr>
          </w:p>
        </w:tc>
      </w:tr>
      <w:tr w:rsidR="00F0566E" w14:paraId="2FC90F39" w14:textId="77777777">
        <w:trPr>
          <w:trHeight w:val="676"/>
        </w:trPr>
        <w:tc>
          <w:tcPr>
            <w:tcW w:w="343" w:type="dxa"/>
            <w:vMerge/>
            <w:tcBorders>
              <w:top w:val="nil"/>
              <w:left w:val="single" w:sz="4" w:space="0" w:color="000000"/>
              <w:bottom w:val="single" w:sz="4" w:space="0" w:color="000000"/>
              <w:right w:val="single" w:sz="4" w:space="0" w:color="000000"/>
            </w:tcBorders>
            <w:shd w:val="clear" w:color="auto" w:fill="auto"/>
            <w:vAlign w:val="center"/>
          </w:tcPr>
          <w:p w14:paraId="1569C134" w14:textId="77777777" w:rsidR="00F0566E" w:rsidRDefault="00F0566E">
            <w:pPr>
              <w:rPr>
                <w:rFonts w:cs="Times New Roman"/>
                <w:sz w:val="20"/>
                <w:szCs w:val="20"/>
              </w:rPr>
            </w:pPr>
          </w:p>
        </w:tc>
        <w:tc>
          <w:tcPr>
            <w:tcW w:w="343" w:type="dxa"/>
            <w:vMerge/>
            <w:tcBorders>
              <w:top w:val="single" w:sz="4" w:space="0" w:color="000000"/>
              <w:left w:val="nil"/>
              <w:bottom w:val="nil"/>
              <w:right w:val="single" w:sz="4" w:space="0" w:color="000000"/>
            </w:tcBorders>
            <w:shd w:val="clear" w:color="auto" w:fill="auto"/>
            <w:vAlign w:val="center"/>
          </w:tcPr>
          <w:p w14:paraId="15259F91" w14:textId="77777777" w:rsidR="00F0566E" w:rsidRDefault="00F0566E">
            <w:pPr>
              <w:rPr>
                <w:rFonts w:cs="Times New Roman"/>
                <w:sz w:val="20"/>
                <w:szCs w:val="20"/>
              </w:rPr>
            </w:pPr>
          </w:p>
        </w:tc>
        <w:tc>
          <w:tcPr>
            <w:tcW w:w="376" w:type="dxa"/>
            <w:tcBorders>
              <w:top w:val="single" w:sz="4" w:space="0" w:color="000000"/>
              <w:left w:val="nil"/>
              <w:bottom w:val="nil"/>
              <w:right w:val="single" w:sz="4" w:space="0" w:color="000000"/>
            </w:tcBorders>
            <w:shd w:val="clear" w:color="auto" w:fill="auto"/>
            <w:vAlign w:val="center"/>
          </w:tcPr>
          <w:p w14:paraId="5F672F94" w14:textId="77777777" w:rsidR="00F0566E" w:rsidRDefault="00000000">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可持续影响指标</w:t>
            </w:r>
          </w:p>
        </w:tc>
        <w:tc>
          <w:tcPr>
            <w:tcW w:w="1925" w:type="dxa"/>
            <w:tcBorders>
              <w:top w:val="single" w:sz="4" w:space="0" w:color="000000"/>
              <w:left w:val="nil"/>
              <w:bottom w:val="single" w:sz="4" w:space="0" w:color="000000"/>
              <w:right w:val="single" w:sz="4" w:space="0" w:color="000000"/>
            </w:tcBorders>
            <w:shd w:val="clear" w:color="auto" w:fill="auto"/>
            <w:vAlign w:val="center"/>
          </w:tcPr>
          <w:p w14:paraId="1499198F" w14:textId="77777777" w:rsidR="00F0566E" w:rsidRDefault="00000000">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安装后的效果</w:t>
            </w:r>
          </w:p>
        </w:tc>
        <w:tc>
          <w:tcPr>
            <w:tcW w:w="1395" w:type="dxa"/>
            <w:tcBorders>
              <w:top w:val="single" w:sz="4" w:space="0" w:color="000000"/>
              <w:left w:val="nil"/>
              <w:bottom w:val="single" w:sz="4" w:space="0" w:color="000000"/>
              <w:right w:val="single" w:sz="4" w:space="0" w:color="000000"/>
            </w:tcBorders>
            <w:shd w:val="clear" w:color="auto" w:fill="auto"/>
            <w:vAlign w:val="center"/>
          </w:tcPr>
          <w:p w14:paraId="50763FCA"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有效预防和遏制事故发生</w:t>
            </w:r>
          </w:p>
        </w:tc>
        <w:tc>
          <w:tcPr>
            <w:tcW w:w="1336" w:type="dxa"/>
            <w:tcBorders>
              <w:top w:val="single" w:sz="4" w:space="0" w:color="000000"/>
              <w:left w:val="nil"/>
              <w:bottom w:val="single" w:sz="4" w:space="0" w:color="000000"/>
              <w:right w:val="single" w:sz="4" w:space="0" w:color="000000"/>
            </w:tcBorders>
            <w:shd w:val="clear" w:color="auto" w:fill="auto"/>
            <w:vAlign w:val="center"/>
          </w:tcPr>
          <w:p w14:paraId="637A151A"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有效预防和遏制事故发生</w:t>
            </w:r>
          </w:p>
        </w:tc>
        <w:tc>
          <w:tcPr>
            <w:tcW w:w="519" w:type="dxa"/>
            <w:tcBorders>
              <w:top w:val="single" w:sz="4" w:space="0" w:color="000000"/>
              <w:left w:val="nil"/>
              <w:bottom w:val="single" w:sz="4" w:space="0" w:color="000000"/>
              <w:right w:val="single" w:sz="4" w:space="0" w:color="000000"/>
            </w:tcBorders>
            <w:shd w:val="clear" w:color="auto" w:fill="auto"/>
            <w:vAlign w:val="center"/>
          </w:tcPr>
          <w:p w14:paraId="5D8875CA"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20</w:t>
            </w:r>
          </w:p>
        </w:tc>
        <w:tc>
          <w:tcPr>
            <w:tcW w:w="519" w:type="dxa"/>
            <w:tcBorders>
              <w:top w:val="single" w:sz="4" w:space="0" w:color="000000"/>
              <w:left w:val="nil"/>
              <w:bottom w:val="single" w:sz="4" w:space="0" w:color="000000"/>
              <w:right w:val="single" w:sz="4" w:space="0" w:color="000000"/>
            </w:tcBorders>
            <w:shd w:val="clear" w:color="auto" w:fill="auto"/>
            <w:vAlign w:val="center"/>
          </w:tcPr>
          <w:p w14:paraId="571B9D13"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20</w:t>
            </w:r>
          </w:p>
        </w:tc>
        <w:tc>
          <w:tcPr>
            <w:tcW w:w="2256" w:type="dxa"/>
            <w:tcBorders>
              <w:top w:val="single" w:sz="4" w:space="0" w:color="000000"/>
              <w:left w:val="nil"/>
              <w:bottom w:val="single" w:sz="4" w:space="0" w:color="000000"/>
              <w:right w:val="single" w:sz="4" w:space="0" w:color="000000"/>
            </w:tcBorders>
            <w:shd w:val="clear" w:color="auto" w:fill="auto"/>
            <w:vAlign w:val="center"/>
          </w:tcPr>
          <w:p w14:paraId="5965C1CF" w14:textId="77777777" w:rsidR="00F0566E" w:rsidRDefault="00F0566E">
            <w:pPr>
              <w:widowControl/>
              <w:jc w:val="center"/>
              <w:rPr>
                <w:rFonts w:eastAsia="宋体" w:cs="Times New Roman"/>
                <w:color w:val="000000"/>
                <w:sz w:val="18"/>
                <w:szCs w:val="18"/>
              </w:rPr>
            </w:pPr>
          </w:p>
        </w:tc>
      </w:tr>
      <w:tr w:rsidR="00F0566E" w14:paraId="3FE57AB7" w14:textId="77777777">
        <w:trPr>
          <w:trHeight w:val="752"/>
        </w:trPr>
        <w:tc>
          <w:tcPr>
            <w:tcW w:w="343" w:type="dxa"/>
            <w:vMerge/>
            <w:tcBorders>
              <w:top w:val="nil"/>
              <w:left w:val="single" w:sz="4" w:space="0" w:color="000000"/>
              <w:bottom w:val="single" w:sz="4" w:space="0" w:color="000000"/>
              <w:right w:val="single" w:sz="4" w:space="0" w:color="000000"/>
            </w:tcBorders>
            <w:shd w:val="clear" w:color="auto" w:fill="auto"/>
            <w:vAlign w:val="center"/>
          </w:tcPr>
          <w:p w14:paraId="4F59BC32" w14:textId="77777777" w:rsidR="00F0566E" w:rsidRDefault="00F0566E">
            <w:pPr>
              <w:rPr>
                <w:rFonts w:cs="Times New Roman"/>
                <w:sz w:val="20"/>
                <w:szCs w:val="20"/>
              </w:rPr>
            </w:pPr>
          </w:p>
        </w:tc>
        <w:tc>
          <w:tcPr>
            <w:tcW w:w="343" w:type="dxa"/>
            <w:tcBorders>
              <w:top w:val="nil"/>
              <w:left w:val="nil"/>
              <w:bottom w:val="nil"/>
              <w:right w:val="single" w:sz="4" w:space="0" w:color="000000"/>
            </w:tcBorders>
            <w:shd w:val="clear" w:color="auto" w:fill="auto"/>
            <w:vAlign w:val="center"/>
          </w:tcPr>
          <w:p w14:paraId="4095B6BC" w14:textId="77777777" w:rsidR="00F0566E" w:rsidRDefault="00000000">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满意度指标(5分)</w:t>
            </w:r>
          </w:p>
        </w:tc>
        <w:tc>
          <w:tcPr>
            <w:tcW w:w="376" w:type="dxa"/>
            <w:tcBorders>
              <w:top w:val="nil"/>
              <w:left w:val="nil"/>
              <w:bottom w:val="nil"/>
              <w:right w:val="single" w:sz="4" w:space="0" w:color="000000"/>
            </w:tcBorders>
            <w:shd w:val="clear" w:color="auto" w:fill="auto"/>
            <w:vAlign w:val="center"/>
          </w:tcPr>
          <w:p w14:paraId="4A902BB4" w14:textId="77777777" w:rsidR="00F0566E" w:rsidRDefault="00000000">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服务对象等方面满意度指标</w:t>
            </w:r>
          </w:p>
        </w:tc>
        <w:tc>
          <w:tcPr>
            <w:tcW w:w="1925" w:type="dxa"/>
            <w:tcBorders>
              <w:top w:val="single" w:sz="4" w:space="0" w:color="000000"/>
              <w:left w:val="nil"/>
              <w:bottom w:val="single" w:sz="4" w:space="0" w:color="000000"/>
              <w:right w:val="single" w:sz="4" w:space="0" w:color="000000"/>
            </w:tcBorders>
            <w:shd w:val="clear" w:color="auto" w:fill="auto"/>
            <w:vAlign w:val="center"/>
          </w:tcPr>
          <w:p w14:paraId="17E97754" w14:textId="77777777" w:rsidR="00F0566E" w:rsidRDefault="00000000">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场（厂）车安全企业</w:t>
            </w:r>
          </w:p>
        </w:tc>
        <w:tc>
          <w:tcPr>
            <w:tcW w:w="1395" w:type="dxa"/>
            <w:tcBorders>
              <w:top w:val="single" w:sz="4" w:space="0" w:color="000000"/>
              <w:left w:val="nil"/>
              <w:bottom w:val="single" w:sz="4" w:space="0" w:color="000000"/>
              <w:right w:val="single" w:sz="4" w:space="0" w:color="000000"/>
            </w:tcBorders>
            <w:shd w:val="clear" w:color="auto" w:fill="auto"/>
            <w:vAlign w:val="center"/>
          </w:tcPr>
          <w:p w14:paraId="72938A4F"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100%</w:t>
            </w:r>
            <w:r>
              <w:rPr>
                <w:rFonts w:ascii="宋体" w:eastAsia="宋体" w:hAnsi="宋体" w:cs="宋体" w:hint="eastAsia"/>
                <w:color w:val="000000"/>
                <w:kern w:val="0"/>
                <w:sz w:val="18"/>
                <w:szCs w:val="18"/>
                <w:lang w:bidi="ar"/>
              </w:rPr>
              <w:t>满意</w:t>
            </w:r>
          </w:p>
        </w:tc>
        <w:tc>
          <w:tcPr>
            <w:tcW w:w="1336" w:type="dxa"/>
            <w:tcBorders>
              <w:top w:val="single" w:sz="4" w:space="0" w:color="000000"/>
              <w:left w:val="nil"/>
              <w:bottom w:val="single" w:sz="4" w:space="0" w:color="000000"/>
              <w:right w:val="single" w:sz="4" w:space="0" w:color="000000"/>
            </w:tcBorders>
            <w:shd w:val="clear" w:color="auto" w:fill="auto"/>
            <w:vAlign w:val="center"/>
          </w:tcPr>
          <w:p w14:paraId="212DECC4"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100%</w:t>
            </w:r>
            <w:r>
              <w:rPr>
                <w:rFonts w:ascii="宋体" w:eastAsia="宋体" w:hAnsi="宋体" w:cs="宋体" w:hint="eastAsia"/>
                <w:color w:val="000000"/>
                <w:kern w:val="0"/>
                <w:sz w:val="18"/>
                <w:szCs w:val="18"/>
                <w:lang w:bidi="ar"/>
              </w:rPr>
              <w:t>满意</w:t>
            </w:r>
          </w:p>
        </w:tc>
        <w:tc>
          <w:tcPr>
            <w:tcW w:w="519" w:type="dxa"/>
            <w:tcBorders>
              <w:top w:val="single" w:sz="4" w:space="0" w:color="000000"/>
              <w:left w:val="nil"/>
              <w:bottom w:val="single" w:sz="4" w:space="0" w:color="000000"/>
              <w:right w:val="single" w:sz="4" w:space="0" w:color="000000"/>
            </w:tcBorders>
            <w:shd w:val="clear" w:color="auto" w:fill="auto"/>
            <w:vAlign w:val="center"/>
          </w:tcPr>
          <w:p w14:paraId="79E0DC9D"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5</w:t>
            </w:r>
          </w:p>
        </w:tc>
        <w:tc>
          <w:tcPr>
            <w:tcW w:w="519" w:type="dxa"/>
            <w:tcBorders>
              <w:top w:val="single" w:sz="4" w:space="0" w:color="000000"/>
              <w:left w:val="nil"/>
              <w:bottom w:val="single" w:sz="4" w:space="0" w:color="000000"/>
              <w:right w:val="single" w:sz="4" w:space="0" w:color="000000"/>
            </w:tcBorders>
            <w:shd w:val="clear" w:color="auto" w:fill="auto"/>
            <w:vAlign w:val="center"/>
          </w:tcPr>
          <w:p w14:paraId="427C62D4"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5</w:t>
            </w:r>
          </w:p>
        </w:tc>
        <w:tc>
          <w:tcPr>
            <w:tcW w:w="2256" w:type="dxa"/>
            <w:tcBorders>
              <w:top w:val="single" w:sz="4" w:space="0" w:color="000000"/>
              <w:left w:val="nil"/>
              <w:bottom w:val="single" w:sz="4" w:space="0" w:color="000000"/>
              <w:right w:val="single" w:sz="4" w:space="0" w:color="000000"/>
            </w:tcBorders>
            <w:shd w:val="clear" w:color="auto" w:fill="auto"/>
            <w:vAlign w:val="center"/>
          </w:tcPr>
          <w:p w14:paraId="38E83928" w14:textId="77777777" w:rsidR="00F0566E" w:rsidRDefault="00F0566E">
            <w:pPr>
              <w:widowControl/>
              <w:jc w:val="center"/>
              <w:rPr>
                <w:rFonts w:eastAsia="宋体" w:cs="Times New Roman"/>
                <w:color w:val="000000"/>
                <w:sz w:val="18"/>
                <w:szCs w:val="18"/>
              </w:rPr>
            </w:pPr>
          </w:p>
        </w:tc>
      </w:tr>
      <w:tr w:rsidR="00F0566E" w14:paraId="62CC8640" w14:textId="77777777">
        <w:trPr>
          <w:trHeight w:val="420"/>
        </w:trPr>
        <w:tc>
          <w:tcPr>
            <w:tcW w:w="57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1A18762" w14:textId="77777777" w:rsidR="00F0566E" w:rsidRDefault="00000000">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bidi="ar"/>
              </w:rPr>
              <w:t>总  分</w:t>
            </w:r>
          </w:p>
        </w:tc>
        <w:tc>
          <w:tcPr>
            <w:tcW w:w="519" w:type="dxa"/>
            <w:tcBorders>
              <w:top w:val="single" w:sz="4" w:space="0" w:color="000000"/>
              <w:left w:val="nil"/>
              <w:bottom w:val="single" w:sz="4" w:space="0" w:color="000000"/>
              <w:right w:val="single" w:sz="4" w:space="0" w:color="000000"/>
            </w:tcBorders>
            <w:shd w:val="clear" w:color="auto" w:fill="auto"/>
            <w:vAlign w:val="center"/>
          </w:tcPr>
          <w:p w14:paraId="0CD3B0B1"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100</w:t>
            </w:r>
          </w:p>
        </w:tc>
        <w:tc>
          <w:tcPr>
            <w:tcW w:w="519" w:type="dxa"/>
            <w:tcBorders>
              <w:top w:val="single" w:sz="4" w:space="0" w:color="000000"/>
              <w:left w:val="nil"/>
              <w:bottom w:val="single" w:sz="4" w:space="0" w:color="000000"/>
              <w:right w:val="single" w:sz="4" w:space="0" w:color="000000"/>
            </w:tcBorders>
            <w:shd w:val="clear" w:color="auto" w:fill="auto"/>
            <w:vAlign w:val="center"/>
          </w:tcPr>
          <w:p w14:paraId="302E33F8" w14:textId="77777777" w:rsidR="00F0566E" w:rsidRDefault="00000000">
            <w:pPr>
              <w:widowControl/>
              <w:jc w:val="center"/>
              <w:textAlignment w:val="center"/>
              <w:rPr>
                <w:rFonts w:eastAsia="宋体" w:cs="Times New Roman"/>
                <w:color w:val="000000"/>
                <w:sz w:val="18"/>
                <w:szCs w:val="18"/>
              </w:rPr>
            </w:pPr>
            <w:r>
              <w:rPr>
                <w:rFonts w:eastAsia="宋体" w:cs="Times New Roman"/>
                <w:color w:val="000000"/>
                <w:kern w:val="0"/>
                <w:sz w:val="18"/>
                <w:szCs w:val="18"/>
                <w:lang w:bidi="ar"/>
              </w:rPr>
              <w:t>100</w:t>
            </w:r>
          </w:p>
        </w:tc>
        <w:tc>
          <w:tcPr>
            <w:tcW w:w="2256" w:type="dxa"/>
            <w:tcBorders>
              <w:top w:val="single" w:sz="4" w:space="0" w:color="000000"/>
              <w:left w:val="nil"/>
              <w:bottom w:val="single" w:sz="4" w:space="0" w:color="000000"/>
              <w:right w:val="single" w:sz="4" w:space="0" w:color="000000"/>
            </w:tcBorders>
            <w:shd w:val="clear" w:color="auto" w:fill="auto"/>
            <w:vAlign w:val="center"/>
          </w:tcPr>
          <w:p w14:paraId="778C7760" w14:textId="77777777" w:rsidR="00F0566E" w:rsidRDefault="00F0566E">
            <w:pPr>
              <w:widowControl/>
              <w:jc w:val="left"/>
              <w:rPr>
                <w:rFonts w:eastAsia="宋体" w:cs="Times New Roman"/>
                <w:color w:val="000000"/>
                <w:sz w:val="18"/>
                <w:szCs w:val="18"/>
              </w:rPr>
            </w:pPr>
          </w:p>
        </w:tc>
      </w:tr>
      <w:tr w:rsidR="00F0566E" w14:paraId="10FC31E4" w14:textId="77777777">
        <w:trPr>
          <w:trHeight w:val="523"/>
        </w:trPr>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472023"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自评结论</w:t>
            </w:r>
          </w:p>
        </w:tc>
        <w:tc>
          <w:tcPr>
            <w:tcW w:w="1925" w:type="dxa"/>
            <w:tcBorders>
              <w:top w:val="single" w:sz="4" w:space="0" w:color="000000"/>
              <w:left w:val="nil"/>
              <w:bottom w:val="single" w:sz="4" w:space="0" w:color="000000"/>
              <w:right w:val="single" w:sz="4" w:space="0" w:color="000000"/>
            </w:tcBorders>
            <w:shd w:val="clear" w:color="auto" w:fill="auto"/>
            <w:vAlign w:val="center"/>
          </w:tcPr>
          <w:p w14:paraId="52A8C537" w14:textId="77777777" w:rsidR="00F0566E"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优</w:t>
            </w:r>
          </w:p>
        </w:tc>
        <w:tc>
          <w:tcPr>
            <w:tcW w:w="6025" w:type="dxa"/>
            <w:gridSpan w:val="5"/>
            <w:tcBorders>
              <w:top w:val="single" w:sz="4" w:space="0" w:color="000000"/>
              <w:left w:val="nil"/>
              <w:bottom w:val="single" w:sz="4" w:space="0" w:color="000000"/>
              <w:right w:val="single" w:sz="4" w:space="0" w:color="000000"/>
            </w:tcBorders>
            <w:shd w:val="clear" w:color="auto" w:fill="auto"/>
            <w:vAlign w:val="center"/>
          </w:tcPr>
          <w:p w14:paraId="2FA2BB67" w14:textId="77777777" w:rsidR="00F0566E" w:rsidRDefault="00000000">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说明：1.总分90分（含）以上的，执行率91%(含)以上自评结论为“优”，50%（含）-91%为“良”，低于50%为“中”；2.总分90-80分（含）的，执行率50%（含）以上结论为“良”，低于50%为“中”；3.指标得分80-60分（含），结论为“中”；4.总分低于60分的，结论为“差”。</w:t>
            </w:r>
          </w:p>
        </w:tc>
      </w:tr>
      <w:tr w:rsidR="00F0566E" w14:paraId="151D43A8" w14:textId="77777777">
        <w:trPr>
          <w:trHeight w:val="1080"/>
        </w:trPr>
        <w:tc>
          <w:tcPr>
            <w:tcW w:w="1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12B8A4" w14:textId="77777777" w:rsidR="00F0566E" w:rsidRDefault="0000000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主管部门审核意见</w:t>
            </w:r>
          </w:p>
        </w:tc>
        <w:tc>
          <w:tcPr>
            <w:tcW w:w="7950" w:type="dxa"/>
            <w:gridSpan w:val="6"/>
            <w:tcBorders>
              <w:top w:val="nil"/>
              <w:left w:val="nil"/>
              <w:bottom w:val="single" w:sz="4" w:space="0" w:color="000000"/>
              <w:right w:val="single" w:sz="4" w:space="0" w:color="000000"/>
            </w:tcBorders>
            <w:shd w:val="clear" w:color="auto" w:fill="auto"/>
            <w:vAlign w:val="center"/>
          </w:tcPr>
          <w:p w14:paraId="074249FE" w14:textId="77777777" w:rsidR="00F0566E"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 xml:space="preserve">                                       （盖章）</w:t>
            </w:r>
          </w:p>
        </w:tc>
      </w:tr>
    </w:tbl>
    <w:p w14:paraId="1EB94838" w14:textId="77777777" w:rsidR="00F0566E" w:rsidRDefault="00000000">
      <w:pPr>
        <w:pStyle w:val="Default"/>
        <w:widowControl/>
        <w:rPr>
          <w:rFonts w:cs="仿宋_GB2312" w:hint="default"/>
        </w:rPr>
      </w:pPr>
      <w:r>
        <w:rPr>
          <w:rFonts w:cs="仿宋_GB2312"/>
        </w:rPr>
        <w:t xml:space="preserve"> </w:t>
      </w:r>
    </w:p>
    <w:p w14:paraId="45144B0F" w14:textId="77777777" w:rsidR="00F0566E" w:rsidRDefault="00000000">
      <w:pPr>
        <w:widowControl/>
        <w:spacing w:line="324" w:lineRule="auto"/>
        <w:ind w:firstLine="594"/>
        <w:rPr>
          <w:rFonts w:ascii="仿宋" w:eastAsia="仿宋" w:hAnsi="仿宋" w:cs="仿宋"/>
          <w:b/>
          <w:color w:val="000000"/>
          <w:highlight w:val="white"/>
        </w:rPr>
      </w:pPr>
      <w:r>
        <w:rPr>
          <w:rFonts w:ascii="仿宋" w:eastAsia="仿宋" w:hAnsi="仿宋" w:cs="仿宋" w:hint="eastAsia"/>
          <w:b/>
          <w:color w:val="000000"/>
          <w:highlight w:val="white"/>
          <w:lang w:bidi="ar"/>
        </w:rPr>
        <w:t>3.财政评价项目绩效评价结果：无。</w:t>
      </w:r>
    </w:p>
    <w:p w14:paraId="36905990" w14:textId="77777777" w:rsidR="00F0566E" w:rsidRDefault="00000000">
      <w:pPr>
        <w:widowControl/>
        <w:spacing w:line="324" w:lineRule="auto"/>
        <w:ind w:firstLine="594"/>
        <w:rPr>
          <w:rFonts w:ascii="仿宋" w:eastAsia="仿宋" w:hAnsi="仿宋" w:cs="仿宋"/>
          <w:b/>
          <w:color w:val="000000"/>
          <w:highlight w:val="white"/>
        </w:rPr>
      </w:pPr>
      <w:r>
        <w:rPr>
          <w:rFonts w:ascii="仿宋" w:eastAsia="仿宋" w:hAnsi="仿宋" w:cs="仿宋" w:hint="eastAsia"/>
          <w:b/>
          <w:color w:val="000000"/>
          <w:highlight w:val="white"/>
          <w:lang w:bidi="ar"/>
        </w:rPr>
        <w:t>4.部门评价项目绩效评价结果：无。</w:t>
      </w:r>
    </w:p>
    <w:p w14:paraId="5AC8BE5B" w14:textId="77777777" w:rsidR="00F0566E" w:rsidRDefault="00000000">
      <w:pPr>
        <w:widowControl/>
        <w:spacing w:line="324" w:lineRule="auto"/>
        <w:ind w:firstLine="594"/>
        <w:rPr>
          <w:rFonts w:cs="Times New Roman"/>
          <w:color w:val="000000"/>
          <w:highlight w:val="white"/>
        </w:rPr>
      </w:pPr>
      <w:r>
        <w:rPr>
          <w:rFonts w:ascii="仿宋" w:eastAsia="仿宋" w:hAnsi="仿宋" w:cs="仿宋" w:hint="eastAsia"/>
          <w:color w:val="000000"/>
          <w:highlight w:val="white"/>
          <w:lang w:bidi="ar"/>
        </w:rPr>
        <w:t>说明：</w:t>
      </w:r>
      <w:r>
        <w:rPr>
          <w:rFonts w:ascii="仿宋" w:eastAsia="仿宋" w:hAnsi="仿宋" w:cs="仿宋" w:hint="eastAsia"/>
          <w:b/>
          <w:color w:val="000000"/>
          <w:highlight w:val="white"/>
          <w:lang w:bidi="ar"/>
        </w:rPr>
        <w:t>部门评价项目</w:t>
      </w:r>
      <w:r>
        <w:rPr>
          <w:rFonts w:ascii="仿宋" w:eastAsia="仿宋" w:hAnsi="仿宋" w:cs="仿宋" w:hint="eastAsia"/>
          <w:color w:val="000000"/>
          <w:highlight w:val="white"/>
          <w:lang w:bidi="ar"/>
        </w:rPr>
        <w:t>是指本部门自行开展的评价对象为本部门政策、项目、整体支出或下属单位整体支出的绩效评价；</w:t>
      </w:r>
      <w:r>
        <w:rPr>
          <w:rFonts w:ascii="仿宋" w:eastAsia="仿宋" w:hAnsi="仿宋" w:cs="仿宋" w:hint="eastAsia"/>
          <w:b/>
          <w:color w:val="000000"/>
          <w:highlight w:val="white"/>
          <w:lang w:bidi="ar"/>
        </w:rPr>
        <w:t>财政评价项目</w:t>
      </w:r>
      <w:r>
        <w:rPr>
          <w:rFonts w:ascii="仿宋" w:eastAsia="仿宋" w:hAnsi="仿宋" w:cs="仿宋" w:hint="eastAsia"/>
          <w:color w:val="000000"/>
          <w:highlight w:val="white"/>
          <w:lang w:bidi="ar"/>
        </w:rPr>
        <w:t>是指以由财政部门开展的评价对象为本部门政策、项目或整体支出的绩效评价项目。</w:t>
      </w:r>
    </w:p>
    <w:p w14:paraId="623B891D" w14:textId="77777777" w:rsidR="00F0566E" w:rsidRDefault="00000000">
      <w:pPr>
        <w:widowControl/>
        <w:spacing w:line="324" w:lineRule="auto"/>
        <w:ind w:firstLine="600"/>
        <w:rPr>
          <w:rFonts w:cs="Times New Roman"/>
          <w:b/>
          <w:color w:val="000000"/>
          <w:highlight w:val="white"/>
        </w:rPr>
      </w:pPr>
      <w:r>
        <w:rPr>
          <w:rFonts w:ascii="黑体" w:eastAsia="黑体" w:hAnsi="宋体" w:cs="黑体" w:hint="eastAsia"/>
          <w:b/>
          <w:color w:val="000000"/>
          <w:highlight w:val="white"/>
          <w:lang w:bidi="ar"/>
        </w:rPr>
        <w:t>四、名词解释</w:t>
      </w:r>
    </w:p>
    <w:p w14:paraId="2108187F"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1.财政拨款收入：指本级财政部</w:t>
      </w:r>
      <w:proofErr w:type="gramStart"/>
      <w:r>
        <w:rPr>
          <w:rFonts w:ascii="仿宋" w:eastAsia="仿宋" w:hAnsi="仿宋" w:cs="仿宋" w:hint="eastAsia"/>
          <w:color w:val="000000"/>
          <w:highlight w:val="white"/>
          <w:lang w:bidi="ar"/>
        </w:rPr>
        <w:t>门当年</w:t>
      </w:r>
      <w:proofErr w:type="gramEnd"/>
      <w:r>
        <w:rPr>
          <w:rFonts w:ascii="仿宋" w:eastAsia="仿宋" w:hAnsi="仿宋" w:cs="仿宋" w:hint="eastAsia"/>
          <w:color w:val="000000"/>
          <w:highlight w:val="white"/>
          <w:lang w:bidi="ar"/>
        </w:rPr>
        <w:t>拨付的财政预算资金，包括一般公共预算财政拨款、政府性基金预算财政拨款和国有资本经营预算财政拨款。</w:t>
      </w:r>
    </w:p>
    <w:p w14:paraId="4EA07662"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2.事业收入：指事业单位开展专业业务活动及辅助活动所取得的收入。</w:t>
      </w:r>
    </w:p>
    <w:p w14:paraId="7CEA7AEB"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3.经营收入：指事业单位在专业业务活动及辅助活动之外开展非独立核算经营活动取得的收入。</w:t>
      </w:r>
    </w:p>
    <w:p w14:paraId="4A7A8A19"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4.上级补助收入：指事业单位从主管部门和上级单位取得的非财政补助收入。</w:t>
      </w:r>
    </w:p>
    <w:p w14:paraId="5A10BD51"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5.附属单位上缴收入：指事业单位附属独立核算单位按照有关规定上缴的收入。</w:t>
      </w:r>
    </w:p>
    <w:p w14:paraId="4F3BBD44"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lastRenderedPageBreak/>
        <w:t>6.其他收入：指预算单位在“财政拨款”、“事业收入”、“经营收入”、“上级补助收入”、“附属单位上缴收入”等之外取得的各项收入。</w:t>
      </w:r>
    </w:p>
    <w:p w14:paraId="41D8C8AC"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7.使用非财政拨款结余：指事业单位使用以前年度积累的非财政拨款结余弥补当年收支差额的金额。</w:t>
      </w:r>
    </w:p>
    <w:p w14:paraId="349748B3"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8.年初结转和结余：指预算单位以前年度尚未完成、结转到本年仍按原规定用途继续使用的资金。</w:t>
      </w:r>
    </w:p>
    <w:p w14:paraId="2ACCC92E"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9.年末结转和结余：指单位按有关规定结转到下年或以后年度继续使用的资金。</w:t>
      </w:r>
    </w:p>
    <w:p w14:paraId="0D4EAE80"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10.基本支出：指预算单位为保障其正常运转，完成日常工作任务所发生的支出，包括人员经费支出和日常公用经费支出。</w:t>
      </w:r>
    </w:p>
    <w:p w14:paraId="1E890E3D"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11.项目支出：指预算单位为完成其特定的行政工作任务或事业发展目标所发生的支出。</w:t>
      </w:r>
    </w:p>
    <w:p w14:paraId="0AF3F44F"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12.上缴上级支出：填列事业单位按照财政部门和主管部门的规定上缴上级单位的支出。</w:t>
      </w:r>
    </w:p>
    <w:p w14:paraId="4BF02C60"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13.经营支出：指事业单位在专业业务活动及其辅助活动之外开展非独立核算经营活动发生的支出。</w:t>
      </w:r>
    </w:p>
    <w:p w14:paraId="57E3491F"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14.附属单位补助支出：填列事业单位用财政补助收入之外的收入对附属单位补助发生的支出。</w:t>
      </w:r>
    </w:p>
    <w:p w14:paraId="457919D4"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15.“三公”经费：纳入财政预决算管理的“三公”经费，是指部门用一般公共预算财政拨款安排的因公出国（境）费、公务用车购置及运行费和公务接待费。其中，因公出国（境）</w:t>
      </w:r>
      <w:proofErr w:type="gramStart"/>
      <w:r>
        <w:rPr>
          <w:rFonts w:ascii="仿宋" w:eastAsia="仿宋" w:hAnsi="仿宋" w:cs="仿宋" w:hint="eastAsia"/>
          <w:color w:val="000000"/>
          <w:highlight w:val="white"/>
          <w:lang w:bidi="ar"/>
        </w:rPr>
        <w:lastRenderedPageBreak/>
        <w:t>费反映</w:t>
      </w:r>
      <w:proofErr w:type="gramEnd"/>
      <w:r>
        <w:rPr>
          <w:rFonts w:ascii="仿宋" w:eastAsia="仿宋" w:hAnsi="仿宋" w:cs="仿宋" w:hint="eastAsia"/>
          <w:color w:val="000000"/>
          <w:highlight w:val="white"/>
          <w:lang w:bidi="ar"/>
        </w:rPr>
        <w:t>单位公务出国（境）的国际旅费、国外城市间交通费、住宿费、伙食费、培训费、公杂费等支出，不含教学科研人员学术交流；公务用车购置及运行</w:t>
      </w:r>
      <w:proofErr w:type="gramStart"/>
      <w:r>
        <w:rPr>
          <w:rFonts w:ascii="仿宋" w:eastAsia="仿宋" w:hAnsi="仿宋" w:cs="仿宋" w:hint="eastAsia"/>
          <w:color w:val="000000"/>
          <w:highlight w:val="white"/>
          <w:lang w:bidi="ar"/>
        </w:rPr>
        <w:t>费反映</w:t>
      </w:r>
      <w:proofErr w:type="gramEnd"/>
      <w:r>
        <w:rPr>
          <w:rFonts w:ascii="仿宋" w:eastAsia="仿宋" w:hAnsi="仿宋" w:cs="仿宋" w:hint="eastAsia"/>
          <w:color w:val="000000"/>
          <w:highlight w:val="white"/>
          <w:lang w:bidi="ar"/>
        </w:rPr>
        <w:t>单位公务用车车辆购置支出（</w:t>
      </w:r>
      <w:proofErr w:type="gramStart"/>
      <w:r>
        <w:rPr>
          <w:rFonts w:ascii="仿宋" w:eastAsia="仿宋" w:hAnsi="仿宋" w:cs="仿宋" w:hint="eastAsia"/>
          <w:color w:val="000000"/>
          <w:highlight w:val="white"/>
          <w:lang w:bidi="ar"/>
        </w:rPr>
        <w:t>含车辆</w:t>
      </w:r>
      <w:proofErr w:type="gramEnd"/>
      <w:r>
        <w:rPr>
          <w:rFonts w:ascii="仿宋" w:eastAsia="仿宋" w:hAnsi="仿宋" w:cs="仿宋" w:hint="eastAsia"/>
          <w:color w:val="000000"/>
          <w:highlight w:val="white"/>
          <w:lang w:bidi="ar"/>
        </w:rPr>
        <w:t>购置税）</w:t>
      </w:r>
      <w:proofErr w:type="gramStart"/>
      <w:r>
        <w:rPr>
          <w:rFonts w:ascii="仿宋" w:eastAsia="仿宋" w:hAnsi="仿宋" w:cs="仿宋" w:hint="eastAsia"/>
          <w:color w:val="000000"/>
          <w:highlight w:val="white"/>
          <w:lang w:bidi="ar"/>
        </w:rPr>
        <w:t>及燃费</w:t>
      </w:r>
      <w:proofErr w:type="gramEnd"/>
      <w:r>
        <w:rPr>
          <w:rFonts w:ascii="仿宋" w:eastAsia="仿宋" w:hAnsi="仿宋" w:cs="仿宋" w:hint="eastAsia"/>
          <w:color w:val="000000"/>
          <w:highlight w:val="white"/>
          <w:lang w:bidi="ar"/>
        </w:rPr>
        <w:t>、维修费、过桥过路费、保险费等支出；公务接待</w:t>
      </w:r>
      <w:proofErr w:type="gramStart"/>
      <w:r>
        <w:rPr>
          <w:rFonts w:ascii="仿宋" w:eastAsia="仿宋" w:hAnsi="仿宋" w:cs="仿宋" w:hint="eastAsia"/>
          <w:color w:val="000000"/>
          <w:highlight w:val="white"/>
          <w:lang w:bidi="ar"/>
        </w:rPr>
        <w:t>费反映</w:t>
      </w:r>
      <w:proofErr w:type="gramEnd"/>
      <w:r>
        <w:rPr>
          <w:rFonts w:ascii="仿宋" w:eastAsia="仿宋" w:hAnsi="仿宋" w:cs="仿宋" w:hint="eastAsia"/>
          <w:color w:val="000000"/>
          <w:highlight w:val="white"/>
          <w:lang w:bidi="ar"/>
        </w:rPr>
        <w:t>单位按规定开支的各类公务接待（含外宾接待）支出。</w:t>
      </w:r>
    </w:p>
    <w:p w14:paraId="51E0C59D"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3709EB95" w14:textId="77777777" w:rsidR="00F0566E" w:rsidRDefault="00000000">
      <w:pPr>
        <w:widowControl/>
        <w:spacing w:line="324" w:lineRule="auto"/>
        <w:ind w:firstLineChars="200" w:firstLine="640"/>
        <w:rPr>
          <w:rFonts w:ascii="仿宋" w:eastAsia="仿宋" w:hAnsi="仿宋" w:cs="仿宋"/>
          <w:color w:val="000000"/>
          <w:highlight w:val="white"/>
        </w:rPr>
      </w:pPr>
      <w:r>
        <w:rPr>
          <w:rFonts w:ascii="仿宋" w:eastAsia="仿宋" w:hAnsi="仿宋" w:cs="仿宋" w:hint="eastAsia"/>
          <w:color w:val="000000"/>
          <w:highlight w:val="white"/>
          <w:lang w:bidi="ar"/>
        </w:rPr>
        <w:t>17.一般公共服务支出（类）市场监督管理事务（款）行政运行（项）。指政府单位（包括实行公务员管理的事业单位）的基本支出。</w:t>
      </w:r>
    </w:p>
    <w:p w14:paraId="129F7AEA"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18.一般公共服务支出（类）市场监督管理事务（款）质量基础（项）。指反应计量、标准、认证认可、检验检测等质量基础专项工作支出。</w:t>
      </w:r>
    </w:p>
    <w:p w14:paraId="0B3B16F0"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19.一般公共服务支出（类）市场监督管理事务（款）其他市场监督管理事务（项）。指除特定项目以外的其他市场监督管理事务方面的支出。</w:t>
      </w:r>
    </w:p>
    <w:p w14:paraId="74EBA3F1"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lastRenderedPageBreak/>
        <w:t>20.社会保障和就业支出（类）抚恤（款）死亡抚恤（项） 。指按规定用于烈士和牺牲、病故人员家属的一次性和定期抚恤金以及丧葬补</w:t>
      </w:r>
    </w:p>
    <w:p w14:paraId="0EFD3B95" w14:textId="77777777" w:rsidR="00F0566E" w:rsidRDefault="00000000">
      <w:pPr>
        <w:widowControl/>
        <w:spacing w:line="324" w:lineRule="auto"/>
        <w:rPr>
          <w:rFonts w:ascii="仿宋" w:eastAsia="仿宋" w:hAnsi="仿宋" w:cs="仿宋"/>
          <w:color w:val="000000"/>
          <w:highlight w:val="white"/>
        </w:rPr>
      </w:pPr>
      <w:r>
        <w:rPr>
          <w:rFonts w:ascii="仿宋" w:eastAsia="仿宋" w:hAnsi="仿宋" w:cs="仿宋" w:hint="eastAsia"/>
          <w:color w:val="000000"/>
          <w:highlight w:val="white"/>
          <w:lang w:bidi="ar"/>
        </w:rPr>
        <w:t>助费。</w:t>
      </w:r>
    </w:p>
    <w:p w14:paraId="23E36D51"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21.卫生健康支出（类）行政事业单位医疗（款）行政单位医疗（项）。指财政部门安排的行政单位（包括实行公务员管理的事业单位）基本医疗保险缴费经费，未参加医疗保险的行政单位的公费医疗经费，按国家规定享受离休人员、红军老战士待遇人员的医疗经费。</w:t>
      </w:r>
    </w:p>
    <w:p w14:paraId="66E57A04" w14:textId="77777777" w:rsidR="00F0566E" w:rsidRDefault="00000000">
      <w:pPr>
        <w:widowControl/>
        <w:spacing w:line="324" w:lineRule="auto"/>
        <w:ind w:firstLine="594"/>
        <w:rPr>
          <w:rFonts w:ascii="仿宋" w:eastAsia="仿宋" w:hAnsi="仿宋" w:cs="仿宋"/>
          <w:color w:val="000000"/>
          <w:highlight w:val="white"/>
        </w:rPr>
      </w:pPr>
      <w:r>
        <w:rPr>
          <w:rFonts w:ascii="仿宋" w:eastAsia="仿宋" w:hAnsi="仿宋" w:cs="仿宋" w:hint="eastAsia"/>
          <w:color w:val="000000"/>
          <w:highlight w:val="white"/>
          <w:lang w:bidi="ar"/>
        </w:rPr>
        <w:t>22.卫生健康支出（类）行政事业单位医疗（款）事业单位医疗（项） 。指财政部门安排的事业单位基本医疗保险缴费经费，未参加医疗保险的事业单位的公费医疗经费，按国家规定享受离休人员待遇的医疗经费。</w:t>
      </w:r>
    </w:p>
    <w:p w14:paraId="0C86D122" w14:textId="77777777" w:rsidR="00F0566E" w:rsidRDefault="00000000">
      <w:pPr>
        <w:widowControl/>
        <w:spacing w:line="324" w:lineRule="auto"/>
        <w:ind w:firstLine="594"/>
        <w:rPr>
          <w:rFonts w:eastAsia="宋体" w:cs="宋体"/>
          <w:sz w:val="21"/>
          <w:szCs w:val="21"/>
        </w:rPr>
      </w:pPr>
      <w:r>
        <w:rPr>
          <w:rFonts w:ascii="仿宋" w:eastAsia="仿宋" w:hAnsi="仿宋" w:cs="仿宋" w:hint="eastAsia"/>
          <w:color w:val="000000"/>
          <w:highlight w:val="white"/>
          <w:lang w:bidi="ar"/>
        </w:rPr>
        <w:t>23.资源勘探工业信息等支出（类）支持中小企业发展和管理支出（款）其他支持中小企业发展和管理支出（项）。除特定项目以外其他用于支持中小企业发展和管理方面的支出。</w:t>
      </w:r>
    </w:p>
    <w:p w14:paraId="2B11CB7C" w14:textId="77777777" w:rsidR="00F0566E" w:rsidRDefault="00000000">
      <w:pPr>
        <w:widowControl/>
        <w:spacing w:line="324" w:lineRule="auto"/>
        <w:ind w:firstLine="594"/>
        <w:rPr>
          <w:rFonts w:ascii="仿宋" w:eastAsia="仿宋" w:hAnsi="仿宋" w:cs="仿宋"/>
          <w:color w:val="000000"/>
          <w:highlight w:val="white"/>
        </w:rPr>
      </w:pPr>
      <w:r>
        <w:rPr>
          <w:rFonts w:ascii="仿宋_GB2312" w:cs="仿宋_GB2312" w:hint="eastAsia"/>
          <w:color w:val="000000"/>
          <w:highlight w:val="white"/>
          <w:lang w:bidi="ar"/>
        </w:rPr>
        <w:t>24</w:t>
      </w:r>
      <w:r>
        <w:rPr>
          <w:rFonts w:ascii="仿宋" w:eastAsia="仿宋" w:hAnsi="仿宋" w:cs="仿宋" w:hint="eastAsia"/>
          <w:color w:val="000000"/>
          <w:highlight w:val="white"/>
          <w:lang w:bidi="ar"/>
        </w:rPr>
        <w:t>.一般公共服务支出（类）市场监督管理事务（款）事业运行（项）事业运行：指反映事业单位的基本支出，不包括行政单位（包括实行公务员管理的事业单位）后勤服务中心、医务室等附属事业单位。</w:t>
      </w:r>
    </w:p>
    <w:p w14:paraId="64B82E7C" w14:textId="77777777" w:rsidR="00F0566E" w:rsidRDefault="00F0566E">
      <w:pPr>
        <w:widowControl/>
        <w:spacing w:line="324" w:lineRule="auto"/>
        <w:ind w:firstLine="594"/>
        <w:rPr>
          <w:rFonts w:ascii="仿宋" w:eastAsia="仿宋" w:hAnsi="仿宋" w:cs="仿宋"/>
          <w:color w:val="000000"/>
          <w:highlight w:val="white"/>
        </w:rPr>
      </w:pPr>
    </w:p>
    <w:p w14:paraId="08DC2E1B" w14:textId="77777777" w:rsidR="00F0566E" w:rsidRDefault="00F0566E"/>
    <w:sectPr w:rsidR="00F0566E">
      <w:pgSz w:w="11906" w:h="16838"/>
      <w:pgMar w:top="1587" w:right="1587" w:bottom="1587" w:left="158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U5M2U3OTRiOThjOTdmNjQ2NzE1Y2ZjNWUyNWFkZTYifQ=="/>
  </w:docVars>
  <w:rsids>
    <w:rsidRoot w:val="4A1A1A27"/>
    <w:rsid w:val="002148A1"/>
    <w:rsid w:val="0065713B"/>
    <w:rsid w:val="00F0566E"/>
    <w:rsid w:val="1BEB30C2"/>
    <w:rsid w:val="4A1A1A27"/>
    <w:rsid w:val="4EEE5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ED4FB"/>
  <w15:docId w15:val="{BAD768C5-E43B-4374-87B4-72CC4C7D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nhideWhenUsed="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nhideWhenUsed/>
    <w:pPr>
      <w:widowControl w:val="0"/>
      <w:jc w:val="both"/>
    </w:pPr>
    <w:rPr>
      <w:rFonts w:eastAsia="仿宋_GB2312" w:cstheme="minorBid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3">
    <w:name w:val="Normal (Web)"/>
    <w:basedOn w:val="a"/>
    <w:rPr>
      <w:sz w:val="24"/>
    </w:rPr>
  </w:style>
  <w:style w:type="character" w:customStyle="1" w:styleId="19">
    <w:name w:val="19"/>
    <w:basedOn w:val="a0"/>
    <w:rPr>
      <w:rFonts w:ascii="仿宋_GB2312" w:eastAsia="仿宋_GB2312" w:hAnsi="Times New Roman" w:cs="仿宋_GB2312" w:hint="eastAsia"/>
      <w:color w:val="000000"/>
      <w:sz w:val="20"/>
      <w:szCs w:val="20"/>
    </w:rPr>
  </w:style>
  <w:style w:type="character" w:customStyle="1" w:styleId="10">
    <w:name w:val="10"/>
    <w:basedOn w:val="a0"/>
    <w:rPr>
      <w:rFonts w:ascii="Times New Roman" w:hAnsi="Times New Roman" w:cs="Times New Roman" w:hint="default"/>
      <w:sz w:val="24"/>
      <w:szCs w:val="24"/>
    </w:rPr>
  </w:style>
  <w:style w:type="paragraph" w:customStyle="1" w:styleId="Default">
    <w:name w:val="Default"/>
    <w:basedOn w:val="a"/>
    <w:hidden/>
    <w:pPr>
      <w:autoSpaceDE w:val="0"/>
      <w:autoSpaceDN w:val="0"/>
      <w:adjustRightInd w:val="0"/>
      <w:jc w:val="left"/>
    </w:pPr>
    <w:rPr>
      <w:rFonts w:ascii="仿宋_GB2312" w:hAnsi="宋体" w:cs="Times New Roman" w:hint="eastAsia"/>
      <w:color w:val="000000"/>
      <w:kern w:val="0"/>
      <w:sz w:val="24"/>
      <w:szCs w:val="24"/>
    </w:rPr>
  </w:style>
  <w:style w:type="character" w:customStyle="1" w:styleId="15">
    <w:name w:val="15"/>
    <w:basedOn w:val="a0"/>
    <w:rPr>
      <w:rFonts w:ascii="宋体" w:eastAsia="宋体" w:hAnsi="宋体" w:cs="宋体" w:hint="eastAsia"/>
      <w:color w:val="000000"/>
      <w:sz w:val="18"/>
      <w:szCs w:val="18"/>
    </w:rPr>
  </w:style>
  <w:style w:type="character" w:customStyle="1" w:styleId="18">
    <w:name w:val="18"/>
    <w:basedOn w:val="a0"/>
    <w:rPr>
      <w:rFonts w:ascii="Times New Roman" w:eastAsia="宋体" w:hAnsi="Times New Roman" w:cs="Times New Roman" w:hint="default"/>
      <w:color w:val="000000"/>
      <w:sz w:val="18"/>
      <w:szCs w:val="18"/>
    </w:rPr>
  </w:style>
  <w:style w:type="character" w:customStyle="1" w:styleId="17">
    <w:name w:val="17"/>
    <w:basedOn w:val="a0"/>
    <w:rPr>
      <w:rFonts w:ascii="仿宋_GB2312" w:eastAsia="仿宋_GB2312" w:hAnsi="Times New Roman" w:cs="仿宋_GB2312" w:hint="eastAsia"/>
      <w:color w:val="000000"/>
      <w:sz w:val="20"/>
      <w:szCs w:val="20"/>
    </w:rPr>
  </w:style>
  <w:style w:type="character" w:customStyle="1" w:styleId="16">
    <w:name w:val="16"/>
    <w:basedOn w:val="a0"/>
    <w:rPr>
      <w:rFonts w:ascii="Times New Roman" w:eastAsia="宋体"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1868</Words>
  <Characters>10654</Characters>
  <Application>Microsoft Office Word</Application>
  <DocSecurity>0</DocSecurity>
  <Lines>88</Lines>
  <Paragraphs>24</Paragraphs>
  <ScaleCrop>false</ScaleCrop>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芳泽 叶</cp:lastModifiedBy>
  <cp:revision>2</cp:revision>
  <dcterms:created xsi:type="dcterms:W3CDTF">2023-11-23T09:28:00Z</dcterms:created>
  <dcterms:modified xsi:type="dcterms:W3CDTF">2024-04-03T00:39:00Z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C902C7F2CA6644FE90F723AA38792841_11</vt:lpwstr>
  </property>
</Properties>
</file>